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F4974" w14:textId="45EAE449" w:rsidR="006B3BA0" w:rsidRPr="00271FCA" w:rsidRDefault="006B3BA0" w:rsidP="006B3BA0">
      <w:pPr>
        <w:spacing w:after="0" w:line="360" w:lineRule="auto"/>
        <w:jc w:val="center"/>
        <w:rPr>
          <w:rFonts w:cs="Calibri"/>
          <w:color w:val="000000"/>
        </w:rPr>
      </w:pPr>
      <w:r w:rsidRPr="00271FCA">
        <w:rPr>
          <w:rFonts w:cs="Calibri"/>
          <w:noProof/>
          <w:color w:val="000000"/>
        </w:rPr>
        <mc:AlternateContent>
          <mc:Choice Requires="wps">
            <w:drawing>
              <wp:anchor distT="0" distB="0" distL="114300" distR="114300" simplePos="0" relativeHeight="251659264" behindDoc="0" locked="0" layoutInCell="1" allowOverlap="1" wp14:anchorId="1D87F888" wp14:editId="388E16DA">
                <wp:simplePos x="0" y="0"/>
                <wp:positionH relativeFrom="margin">
                  <wp:align>left</wp:align>
                </wp:positionH>
                <wp:positionV relativeFrom="paragraph">
                  <wp:posOffset>7620</wp:posOffset>
                </wp:positionV>
                <wp:extent cx="5972175" cy="238125"/>
                <wp:effectExtent l="0" t="0" r="28575" b="28575"/>
                <wp:wrapNone/>
                <wp:docPr id="1386414318" name="Retângulo 1"/>
                <wp:cNvGraphicFramePr/>
                <a:graphic xmlns:a="http://schemas.openxmlformats.org/drawingml/2006/main">
                  <a:graphicData uri="http://schemas.microsoft.com/office/word/2010/wordprocessingShape">
                    <wps:wsp>
                      <wps:cNvSpPr/>
                      <wps:spPr>
                        <a:xfrm>
                          <a:off x="0" y="0"/>
                          <a:ext cx="5972175" cy="238125"/>
                        </a:xfrm>
                        <a:prstGeom prst="rect">
                          <a:avLst/>
                        </a:prstGeom>
                        <a:solidFill>
                          <a:schemeClr val="bg2">
                            <a:lumMod val="9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9BF4F1B" w14:textId="45241E40" w:rsidR="006B3BA0" w:rsidRPr="006B3BA0" w:rsidRDefault="006B3BA0" w:rsidP="006B3BA0">
                            <w:pPr>
                              <w:jc w:val="center"/>
                              <w:rPr>
                                <w:b/>
                                <w:bCs/>
                                <w:color w:val="000000" w:themeColor="text1"/>
                              </w:rPr>
                            </w:pPr>
                            <w:r w:rsidRPr="006B3BA0">
                              <w:rPr>
                                <w:b/>
                                <w:bCs/>
                                <w:color w:val="000000" w:themeColor="text1"/>
                              </w:rPr>
                              <w:t>CHAMAMENTO PÚBLICO – REQUEST FOR PROPOSAL (RFP)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7F888" id="Retângulo 1" o:spid="_x0000_s1026" style="position:absolute;left:0;text-align:left;margin-left:0;margin-top:.6pt;width:470.25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" fillcolor="#cfcdcd [2894]" strokecolor="#091723 [484]" strokeweight="1pt">
                <v:textbox>
                  <w:txbxContent>
                    <w:p w14:paraId="49BF4F1B" w14:textId="45241E40" w:rsidR="006B3BA0" w:rsidRPr="006B3BA0" w:rsidRDefault="006B3BA0" w:rsidP="006B3BA0">
                      <w:pPr>
                        <w:jc w:val="center"/>
                        <w:rPr>
                          <w:b/>
                          <w:bCs/>
                          <w:color w:val="000000" w:themeColor="text1"/>
                        </w:rPr>
                      </w:pPr>
                      <w:r w:rsidRPr="006B3BA0">
                        <w:rPr>
                          <w:b/>
                          <w:bCs/>
                          <w:color w:val="000000" w:themeColor="text1"/>
                        </w:rPr>
                        <w:t>CHAMAMENTO PÚBLICO – REQUEST FOR PROPOSAL (RFP)</w:t>
                      </w:r>
                    </w:p>
                  </w:txbxContent>
                </v:textbox>
                <w10:wrap anchorx="margin"/>
              </v:rect>
            </w:pict>
          </mc:Fallback>
        </mc:AlternateContent>
      </w:r>
    </w:p>
    <w:p w14:paraId="13604284" w14:textId="7298C30C" w:rsidR="006B3BA0" w:rsidRPr="00271FCA" w:rsidRDefault="006B3BA0" w:rsidP="006B3BA0">
      <w:pPr>
        <w:spacing w:after="0" w:line="360" w:lineRule="auto"/>
        <w:jc w:val="both"/>
        <w:rPr>
          <w:rFonts w:cs="Calibri"/>
          <w:color w:val="000000"/>
        </w:rPr>
      </w:pPr>
    </w:p>
    <w:p w14:paraId="1F8A7AE8" w14:textId="10613D1F" w:rsidR="006B3BA0" w:rsidRPr="00CA2BDC" w:rsidRDefault="00CA2BDC" w:rsidP="00CA2BDC">
      <w:pPr>
        <w:spacing w:after="0" w:line="360" w:lineRule="auto"/>
        <w:jc w:val="both"/>
        <w:rPr>
          <w:rFonts w:cs="Calibri"/>
          <w:b/>
          <w:bCs/>
          <w:color w:val="000000"/>
        </w:rPr>
      </w:pPr>
      <w:r w:rsidRPr="00CA2BDC">
        <w:rPr>
          <w:rFonts w:cs="Calibri"/>
          <w:b/>
          <w:bCs/>
          <w:color w:val="000000"/>
        </w:rPr>
        <w:t>1.</w:t>
      </w:r>
      <w:r>
        <w:rPr>
          <w:rFonts w:cs="Calibri"/>
          <w:b/>
          <w:bCs/>
          <w:color w:val="000000"/>
        </w:rPr>
        <w:t xml:space="preserve"> </w:t>
      </w:r>
      <w:r w:rsidR="006B3BA0" w:rsidRPr="00CA2BDC">
        <w:rPr>
          <w:rFonts w:cs="Calibri"/>
          <w:b/>
          <w:bCs/>
          <w:color w:val="000000"/>
        </w:rPr>
        <w:t xml:space="preserve">OBJETO </w:t>
      </w:r>
    </w:p>
    <w:p w14:paraId="3CCFC914" w14:textId="77777777" w:rsidR="00CA2BDC" w:rsidRPr="00CA2BDC" w:rsidRDefault="00CA2BDC" w:rsidP="00CA2BDC"/>
    <w:p w14:paraId="0F4DAD17"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1.1 A Companhia de Saneamento Municipal – CESAMA, por intermédio de sua Diretoria Executiva, torna público o presente CHAMAMENTO PÚBLICO – REQUEST FOR PROPOSAL (RFP), visando coletar propostas indicativas e manifestações de interesse de instituições financeiras autorizadas a operar pelo Banco Central do Brasil, nos termos da Lei nº 4.595, de 31 de dezembro de 1964, para futura concessão de operação de crédito, destinada ao reforço de liquidez e ao suporte financeiro, em conformidade com o planejamento institucional, as metas e as diretrizes de governança. </w:t>
      </w:r>
    </w:p>
    <w:p w14:paraId="4363B864" w14:textId="77777777" w:rsidR="006B3BA0" w:rsidRDefault="006B3BA0" w:rsidP="006B3BA0">
      <w:pPr>
        <w:spacing w:after="0" w:line="360" w:lineRule="auto"/>
        <w:jc w:val="both"/>
        <w:rPr>
          <w:rFonts w:cs="Calibri"/>
          <w:b/>
          <w:bCs/>
          <w:color w:val="000000"/>
        </w:rPr>
      </w:pPr>
      <w:r w:rsidRPr="00271FCA">
        <w:rPr>
          <w:rFonts w:cs="Calibri"/>
          <w:b/>
          <w:bCs/>
          <w:color w:val="000000"/>
        </w:rPr>
        <w:t xml:space="preserve">2. JUSTIFICATIVAS </w:t>
      </w:r>
    </w:p>
    <w:p w14:paraId="75024181" w14:textId="77777777" w:rsidR="00CA2BDC" w:rsidRPr="00271FCA" w:rsidRDefault="00CA2BDC" w:rsidP="006B3BA0">
      <w:pPr>
        <w:spacing w:after="0" w:line="360" w:lineRule="auto"/>
        <w:jc w:val="both"/>
        <w:rPr>
          <w:rFonts w:cs="Calibri"/>
          <w:b/>
          <w:bCs/>
          <w:color w:val="000000"/>
        </w:rPr>
      </w:pPr>
    </w:p>
    <w:p w14:paraId="73C5DA8C" w14:textId="77777777" w:rsidR="007C2037" w:rsidRDefault="006B3BA0" w:rsidP="006B3BA0">
      <w:pPr>
        <w:spacing w:after="0" w:line="360" w:lineRule="auto"/>
        <w:jc w:val="both"/>
        <w:rPr>
          <w:rFonts w:cs="Calibri"/>
          <w:color w:val="000000"/>
        </w:rPr>
      </w:pPr>
      <w:r w:rsidRPr="00271FCA">
        <w:rPr>
          <w:rFonts w:cs="Calibri"/>
          <w:color w:val="000000"/>
        </w:rPr>
        <w:t>2.1 A Companhia de Saneamento Municipal – CESAMA, enquanto empresa pública responsável pela prestação de serviço público essencial de abastecimento de água e esgotamento sanitário, tem o dever jurídico de assegurar a continuidade, regularidade, eficiência e qualidade desses serviços, bem como de viabilizar os investimentos indispensáveis à expansão, modernização e segurança operacional de seus sistemas.</w:t>
      </w:r>
    </w:p>
    <w:p w14:paraId="6470EC4D" w14:textId="4D774604" w:rsidR="006B3BA0" w:rsidRPr="00271FCA" w:rsidRDefault="006B3BA0" w:rsidP="006B3BA0">
      <w:pPr>
        <w:spacing w:after="0" w:line="360" w:lineRule="auto"/>
        <w:jc w:val="both"/>
        <w:rPr>
          <w:rFonts w:cs="Calibri"/>
          <w:color w:val="000000"/>
        </w:rPr>
      </w:pPr>
      <w:r w:rsidRPr="00271FCA">
        <w:rPr>
          <w:rFonts w:cs="Calibri"/>
          <w:color w:val="000000"/>
        </w:rPr>
        <w:t xml:space="preserve"> 2.2 Nesse contexto, a abertura de Chamamento Público – Request for Proposal (RFP) para </w:t>
      </w:r>
      <w:r w:rsidR="008A5ED7">
        <w:rPr>
          <w:rFonts w:cs="Calibri"/>
          <w:color w:val="000000"/>
        </w:rPr>
        <w:t>seleção</w:t>
      </w:r>
      <w:r w:rsidRPr="00271FCA">
        <w:rPr>
          <w:rFonts w:cs="Calibri"/>
          <w:color w:val="000000"/>
        </w:rPr>
        <w:t xml:space="preserve"> e posterior contratação de operação de crédito mostra-se necessária, na medida em que permite à CESAMA selecionar, dentre instituições financeiras autorizadas a operar, aquela que apresente as melhores condições globais da operação. Essa avaliação abrange, de forma objetiva e mensurável, o Custo Efetivo Total (CET), a taxa nominal, o indexador, a forma de capitalização, os prazos de carência e amortização, o perfil de desembolso, as condições de liberação, encargos acessórios, tarifas, seguros, custos e exigências de garantias, eventuais penalidades, além da compatibilidade das propostas com a capacidade de pagamento da Companhia e com seus instrumentos internos de controle e gestão. </w:t>
      </w:r>
    </w:p>
    <w:p w14:paraId="0020AE08" w14:textId="5B263DB5" w:rsidR="006B3BA0" w:rsidRPr="00271FCA" w:rsidRDefault="006B3BA0" w:rsidP="006B3BA0">
      <w:pPr>
        <w:spacing w:after="0" w:line="360" w:lineRule="auto"/>
        <w:jc w:val="both"/>
        <w:rPr>
          <w:rFonts w:cs="Calibri"/>
          <w:color w:val="000000"/>
        </w:rPr>
      </w:pPr>
      <w:r w:rsidRPr="00271FCA">
        <w:rPr>
          <w:rFonts w:cs="Calibri"/>
          <w:color w:val="000000"/>
        </w:rPr>
        <w:t>2.3 A contratação de operação de crédito pela CESAMA mostra-se necessária, pertinente e juridicamente adequada diante da conveniência administrativa de se obter, no mercado, proposta financeiramente mais vantajosa e operacionalmente mais compatível com as necessidades da Companhia, observados os princípios da legalidade, impessoalidade, moralidade, publicidade, eficiência, isonomia, competitividade, julgamento objetivo e busca da proposta mais vantajosa, nos termos da Lei nº 13.303/2016.</w:t>
      </w:r>
    </w:p>
    <w:p w14:paraId="3153A2FE" w14:textId="77777777" w:rsidR="006B3BA0" w:rsidRPr="00271FCA" w:rsidRDefault="006B3BA0" w:rsidP="006B3BA0">
      <w:pPr>
        <w:spacing w:after="0" w:line="360" w:lineRule="auto"/>
        <w:jc w:val="both"/>
        <w:rPr>
          <w:rFonts w:cs="Calibri"/>
          <w:color w:val="000000"/>
        </w:rPr>
      </w:pPr>
      <w:r w:rsidRPr="00271FCA">
        <w:rPr>
          <w:rFonts w:cs="Calibri"/>
          <w:color w:val="000000"/>
        </w:rPr>
        <w:lastRenderedPageBreak/>
        <w:t>2.4 No caso concreto, a adoção do modelo Request for Proposal (RFP), estruturado como chamamento público, revela-se instrumento idôneo para permitir que instituições financeiras autorizadas a operar pelo Banco Central do Brasil apresentem propostas padronizadas, com comparação objetiva e transparente das condições ofertadas, viabilizando a seleção da alternativa mais adequada ao interesse público e à realidade financeira da CESAMA.</w:t>
      </w:r>
    </w:p>
    <w:p w14:paraId="540A7FE9"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2.5 A operação de crédito pretendida possui natureza complexa e multifatorial, não se exaurindo na simples análise de taxa nominal. Ao contrário, a avaliação deve contemplar, de forma integrada e mensurável, o Custo Efetivo Total (CET), a taxa nominal, o indexador, a forma de capitalização, os prazos de carência e amortização, o perfil de desembolso, as condições de liberação, os encargos acessórios, as tarifas, os seguros, os custos e as exigências de garantias, bem como eventuais penalidades contratuais e a compatibilidade global das propostas com a capacidade de pagamento da Companhia e com seus instrumentos internos de controle e gestão. </w:t>
      </w:r>
    </w:p>
    <w:p w14:paraId="1121DFBF"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2.6 Sob essa perspectiva, o modelo RFP se mostra particularmente adequado porque: a) assegura padronização das informações apresentadas pelos potenciais ofertantes; b) permite comparação objetiva entre propostas de instituições diversas; c) confere maior transparência ao procedimento; d) favorece a ampla competitividade entre os agentes financeiros habilitados; e) propicia a escolha da proposta que melhor atenda ao conjunto de variáveis econômicas e contratuais relevantes para a Companhia. </w:t>
      </w:r>
    </w:p>
    <w:p w14:paraId="71EB2D34"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2.7 A utilização do RFP, portanto, não representa mera opção formal de condução do certame, mas sim estratégia procedimental compatível com contratações financeiras de maior complexidade, nas quais o critério de vantajosidade exige análise técnica aprofundada e motivação administrativa robusta. Trata-se de mecanismo que contribui para a obtenção das melhores condições globais da operação, com redução de assimetria informacional e fortalecimento da segurança jurídica do processo. </w:t>
      </w:r>
    </w:p>
    <w:p w14:paraId="2E8FDC42"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2.8 Ressalte-se, ainda, que a modelagem proposta se harmoniza com a disciplina da Lei nº 13.303/2016, especialmente no que concerne à necessidade de observância de procedimento formal que assegure tratamento isonômico entre os interessados, seleção da proposta mais vantajosa e motivação suficiente para a decisão administrativa. Além disso, a estrutura do chamamento público atende à lógica de governança e racionalidade financeira exigida das empresas estatais, sobretudo em operações que impactam o fluxo de caixa, o planejamento orçamentário e a sustentabilidade econômico-financeira da Companhia. </w:t>
      </w:r>
    </w:p>
    <w:p w14:paraId="3AFC272D" w14:textId="51B77CD6" w:rsidR="006B3BA0" w:rsidRPr="00271FCA" w:rsidRDefault="006B3BA0" w:rsidP="006B3BA0">
      <w:pPr>
        <w:spacing w:after="0" w:line="360" w:lineRule="auto"/>
        <w:jc w:val="both"/>
        <w:rPr>
          <w:rFonts w:cs="Calibri"/>
          <w:color w:val="000000"/>
        </w:rPr>
      </w:pPr>
      <w:r w:rsidRPr="00271FCA">
        <w:rPr>
          <w:rFonts w:cs="Calibri"/>
          <w:color w:val="000000"/>
        </w:rPr>
        <w:lastRenderedPageBreak/>
        <w:t>2.9 Dessa forma, a adoção do modelo Request for Proposal mostra-se juridicamente recomendável, por permitir que a CESAMA, de forma impessoal, transparente e tecnicamente fundamentada, selecione a instituição financeira que apresentar a proposta globalmente mais vantajosa, compatível com a capacidade de pagamento da Companhia</w:t>
      </w:r>
      <w:r w:rsidR="00EE37E3">
        <w:rPr>
          <w:rFonts w:cs="Calibri"/>
          <w:color w:val="000000"/>
        </w:rPr>
        <w:t xml:space="preserve"> e </w:t>
      </w:r>
      <w:r w:rsidRPr="00271FCA">
        <w:rPr>
          <w:rFonts w:cs="Calibri"/>
          <w:color w:val="000000"/>
        </w:rPr>
        <w:t xml:space="preserve">com os parâmetros de governança interna aplicáveis. </w:t>
      </w:r>
    </w:p>
    <w:p w14:paraId="6A6B46E9" w14:textId="77777777" w:rsidR="006B3BA0" w:rsidRPr="00271FCA" w:rsidRDefault="006B3BA0" w:rsidP="006B3BA0">
      <w:pPr>
        <w:spacing w:after="0" w:line="360" w:lineRule="auto"/>
        <w:jc w:val="both"/>
        <w:rPr>
          <w:rFonts w:cs="Calibri"/>
          <w:color w:val="000000"/>
        </w:rPr>
      </w:pPr>
      <w:r w:rsidRPr="00271FCA">
        <w:rPr>
          <w:rFonts w:cs="Calibri"/>
          <w:color w:val="000000"/>
        </w:rPr>
        <w:t xml:space="preserve">2.10 Diante disso, somos favoravelmente à instauração do chamamento público na modalidade RFP, com definição prévia, clara e objetiva dos critérios de julgamento, a fim de assegurar a seleção da proposta mais vantajosa e a consequente proteção do interesse público e institucional da CESAMA. </w:t>
      </w:r>
    </w:p>
    <w:p w14:paraId="5BF358E8" w14:textId="23E57F1B" w:rsidR="006B3BA0" w:rsidRPr="00271FCA" w:rsidRDefault="006B3BA0" w:rsidP="006B3BA0">
      <w:pPr>
        <w:spacing w:after="0" w:line="360" w:lineRule="auto"/>
        <w:jc w:val="both"/>
        <w:rPr>
          <w:rFonts w:cs="Calibri"/>
          <w:color w:val="000000"/>
        </w:rPr>
      </w:pPr>
      <w:r w:rsidRPr="00271FCA">
        <w:rPr>
          <w:rFonts w:cs="Calibri"/>
          <w:color w:val="000000"/>
        </w:rPr>
        <w:t>2.1</w:t>
      </w:r>
      <w:r w:rsidR="00CF6B24">
        <w:rPr>
          <w:rFonts w:cs="Calibri"/>
          <w:color w:val="000000"/>
        </w:rPr>
        <w:t>1</w:t>
      </w:r>
      <w:r w:rsidRPr="00271FCA">
        <w:rPr>
          <w:rFonts w:cs="Calibri"/>
          <w:color w:val="000000"/>
        </w:rPr>
        <w:t xml:space="preserve">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Chamamento Público – Request for Proposal (RFP), entende-se que é conveniente a vedação de participação de empresas em “consórcio” neste certame. </w:t>
      </w:r>
    </w:p>
    <w:p w14:paraId="3421E531" w14:textId="77777777" w:rsidR="00271FCA" w:rsidRPr="00271FCA" w:rsidRDefault="006B3BA0" w:rsidP="006B3BA0">
      <w:pPr>
        <w:spacing w:after="0" w:line="360" w:lineRule="auto"/>
        <w:jc w:val="both"/>
        <w:rPr>
          <w:rFonts w:cs="Calibri"/>
          <w:b/>
          <w:bCs/>
          <w:color w:val="000000"/>
        </w:rPr>
      </w:pPr>
      <w:r w:rsidRPr="00271FCA">
        <w:rPr>
          <w:rFonts w:cs="Calibri"/>
          <w:b/>
          <w:bCs/>
          <w:color w:val="000000"/>
        </w:rPr>
        <w:t xml:space="preserve">3. RECURSOS FINANCEIROS </w:t>
      </w:r>
    </w:p>
    <w:p w14:paraId="105563DE" w14:textId="138C61DB" w:rsidR="006B3BA0" w:rsidRDefault="00271FCA" w:rsidP="006B3BA0">
      <w:pPr>
        <w:spacing w:after="0" w:line="360" w:lineRule="auto"/>
        <w:jc w:val="both"/>
        <w:rPr>
          <w:rFonts w:cs="Calibri"/>
          <w:color w:val="000000"/>
        </w:rPr>
      </w:pPr>
      <w:r w:rsidRPr="00271FCA">
        <w:rPr>
          <w:rFonts w:cs="Calibri"/>
          <w:color w:val="000000"/>
        </w:rPr>
        <w:t xml:space="preserve">3.1 </w:t>
      </w:r>
      <w:r w:rsidR="006B3BA0" w:rsidRPr="00271FCA">
        <w:rPr>
          <w:rFonts w:cs="Calibri"/>
          <w:color w:val="000000"/>
        </w:rPr>
        <w:t xml:space="preserve">Os recursos financeiros necessários aos pagamentos do objeto deste CHAMAMENTO PÚBLICO – REQUEST FOR PROPOSAL (RFP) para operações de crédito são oriundos do orçamento da CESAMA. </w:t>
      </w:r>
    </w:p>
    <w:p w14:paraId="6C987AFD" w14:textId="77777777" w:rsidR="0015238C" w:rsidRPr="00271FCA" w:rsidRDefault="0015238C" w:rsidP="006B3BA0">
      <w:pPr>
        <w:spacing w:after="0" w:line="360" w:lineRule="auto"/>
        <w:jc w:val="both"/>
        <w:rPr>
          <w:rFonts w:cs="Calibri"/>
          <w:color w:val="000000"/>
        </w:rPr>
      </w:pPr>
    </w:p>
    <w:p w14:paraId="48459DE8" w14:textId="3CD687A5" w:rsidR="00CA2BDC" w:rsidRPr="00271FCA" w:rsidRDefault="006B3BA0" w:rsidP="006B3BA0">
      <w:pPr>
        <w:spacing w:after="0" w:line="360" w:lineRule="auto"/>
        <w:jc w:val="both"/>
        <w:rPr>
          <w:rFonts w:cs="Calibri"/>
          <w:b/>
          <w:bCs/>
          <w:color w:val="000000"/>
        </w:rPr>
      </w:pPr>
      <w:r w:rsidRPr="00271FCA">
        <w:rPr>
          <w:rFonts w:cs="Calibri"/>
          <w:b/>
          <w:bCs/>
          <w:color w:val="000000"/>
        </w:rPr>
        <w:t xml:space="preserve">4. FINALIDADE DA CONSULTA </w:t>
      </w:r>
    </w:p>
    <w:p w14:paraId="39DDBC82" w14:textId="77777777" w:rsidR="00314D89" w:rsidRDefault="006B3BA0" w:rsidP="006B3BA0">
      <w:pPr>
        <w:spacing w:after="0" w:line="360" w:lineRule="auto"/>
        <w:jc w:val="both"/>
        <w:rPr>
          <w:rFonts w:cs="Calibri"/>
          <w:color w:val="000000"/>
        </w:rPr>
      </w:pPr>
      <w:r w:rsidRPr="00271FCA">
        <w:rPr>
          <w:rFonts w:cs="Calibri"/>
          <w:color w:val="000000"/>
        </w:rPr>
        <w:t xml:space="preserve">4.1 A presente </w:t>
      </w:r>
      <w:r w:rsidR="008A5ED7">
        <w:rPr>
          <w:rFonts w:cs="Calibri"/>
          <w:color w:val="000000"/>
        </w:rPr>
        <w:t>seleção</w:t>
      </w:r>
      <w:r w:rsidRPr="00271FCA">
        <w:rPr>
          <w:rFonts w:cs="Calibri"/>
          <w:color w:val="000000"/>
        </w:rPr>
        <w:t xml:space="preserve"> tem por finalidade:</w:t>
      </w:r>
    </w:p>
    <w:p w14:paraId="0C8C5170" w14:textId="77777777" w:rsidR="00314D89" w:rsidRDefault="006B3BA0" w:rsidP="006B3BA0">
      <w:pPr>
        <w:spacing w:after="0" w:line="360" w:lineRule="auto"/>
        <w:jc w:val="both"/>
        <w:rPr>
          <w:rFonts w:cs="Calibri"/>
          <w:color w:val="000000"/>
        </w:rPr>
      </w:pPr>
      <w:r w:rsidRPr="00271FCA">
        <w:rPr>
          <w:rFonts w:cs="Calibri"/>
          <w:color w:val="000000"/>
        </w:rPr>
        <w:t xml:space="preserve">(a) identificar as condições praticadas pelo mercado financeiro para operações de crédito compatíveis com o perfil da CESAMA; </w:t>
      </w:r>
    </w:p>
    <w:p w14:paraId="35076EFE" w14:textId="77777777" w:rsidR="00314D89" w:rsidRDefault="006B3BA0" w:rsidP="006B3BA0">
      <w:pPr>
        <w:spacing w:after="0" w:line="360" w:lineRule="auto"/>
        <w:jc w:val="both"/>
        <w:rPr>
          <w:rFonts w:cs="Calibri"/>
          <w:color w:val="000000"/>
        </w:rPr>
      </w:pPr>
      <w:r w:rsidRPr="00271FCA">
        <w:rPr>
          <w:rFonts w:cs="Calibri"/>
          <w:color w:val="000000"/>
        </w:rPr>
        <w:t xml:space="preserve">(b) permitir a comparação objetiva entre taxas, encargos e prazos; e </w:t>
      </w:r>
    </w:p>
    <w:p w14:paraId="3B6BD4D0" w14:textId="77777777" w:rsidR="00314D89" w:rsidRDefault="006B3BA0" w:rsidP="006B3BA0">
      <w:pPr>
        <w:spacing w:after="0" w:line="360" w:lineRule="auto"/>
        <w:jc w:val="both"/>
        <w:rPr>
          <w:rFonts w:cs="Calibri"/>
          <w:color w:val="000000"/>
        </w:rPr>
      </w:pPr>
      <w:r w:rsidRPr="00271FCA">
        <w:rPr>
          <w:rFonts w:cs="Calibri"/>
          <w:color w:val="000000"/>
        </w:rPr>
        <w:t xml:space="preserve">(c) embasar eventual contratação futura. </w:t>
      </w:r>
    </w:p>
    <w:p w14:paraId="70DA9389" w14:textId="77777777" w:rsidR="00314D89" w:rsidRDefault="006B3BA0" w:rsidP="006B3BA0">
      <w:pPr>
        <w:spacing w:after="0" w:line="360" w:lineRule="auto"/>
        <w:jc w:val="both"/>
        <w:rPr>
          <w:rFonts w:cs="Calibri"/>
          <w:color w:val="000000"/>
        </w:rPr>
      </w:pPr>
      <w:r w:rsidRPr="00271FCA">
        <w:rPr>
          <w:rFonts w:cs="Calibri"/>
          <w:color w:val="000000"/>
        </w:rPr>
        <w:t xml:space="preserve">Para efeito de avaliação e classificação das propostas, busca-se estruturar a composição do menor custo efetivo, sendo certo que os termos e condições apresentados têm caráter meramente explanatório e indicativo, estando sujeitos a análises técnicas e gerenciais internas da Companhia. </w:t>
      </w:r>
    </w:p>
    <w:p w14:paraId="382F2190" w14:textId="5462ECE8" w:rsidR="006B3BA0" w:rsidRPr="00271FCA" w:rsidRDefault="00314D89" w:rsidP="006B3BA0">
      <w:pPr>
        <w:spacing w:after="0" w:line="360" w:lineRule="auto"/>
        <w:jc w:val="both"/>
        <w:rPr>
          <w:rFonts w:cs="Calibri"/>
          <w:color w:val="000000"/>
        </w:rPr>
      </w:pPr>
      <w:r>
        <w:rPr>
          <w:rFonts w:cs="Calibri"/>
          <w:color w:val="000000"/>
        </w:rPr>
        <w:t xml:space="preserve">4.2 </w:t>
      </w:r>
      <w:r w:rsidR="006E0498" w:rsidRPr="006E0498">
        <w:rPr>
          <w:rFonts w:cs="Calibri"/>
          <w:color w:val="000000"/>
        </w:rPr>
        <w:t>Os termos e condições pleiteados e descritos nesta proposta de prospecção</w:t>
      </w:r>
      <w:r w:rsidR="00774903" w:rsidRPr="00774903">
        <w:rPr>
          <w:rFonts w:cs="Calibri"/>
          <w:color w:val="000000"/>
        </w:rPr>
        <w:t xml:space="preserve"> meramente explanatórios e indicativos, aos quais serão submetidos a avaliações e aprovações internas da Companhia, incluindo avaliação técnica e gerencial das condições aqui apresentadas. Nesse </w:t>
      </w:r>
      <w:r w:rsidR="00774903" w:rsidRPr="00774903">
        <w:rPr>
          <w:rFonts w:cs="Calibri"/>
          <w:color w:val="000000"/>
        </w:rPr>
        <w:lastRenderedPageBreak/>
        <w:t>sentido, esta prospecção não representa compromisso firme de contratação, destinando-se a precificar a proposta e sua vantajosidade para companhia promovendo competitividade e garantindo a isonomia do processo. Dessa forma, as condições recebidas serão analisadas com os termos e condições descritos (volume, valor, prazo, dura</w:t>
      </w:r>
      <w:r w:rsidR="00B55854">
        <w:rPr>
          <w:rFonts w:cs="Calibri"/>
          <w:color w:val="000000"/>
        </w:rPr>
        <w:t>ção</w:t>
      </w:r>
      <w:r w:rsidR="00774903" w:rsidRPr="00774903">
        <w:rPr>
          <w:rFonts w:cs="Calibri"/>
          <w:color w:val="000000"/>
        </w:rPr>
        <w:t xml:space="preserve">, taxa efetiva) sendo submetidos a avaliações e aprovações internas da companhia, e posteriormente submetidas à apreciação </w:t>
      </w:r>
      <w:r w:rsidR="001B1EEE">
        <w:rPr>
          <w:rFonts w:cs="Calibri"/>
          <w:color w:val="000000"/>
        </w:rPr>
        <w:t>da Adm</w:t>
      </w:r>
      <w:r w:rsidR="00774903" w:rsidRPr="00774903">
        <w:rPr>
          <w:rFonts w:cs="Calibri"/>
          <w:color w:val="000000"/>
        </w:rPr>
        <w:t>inistração que deliberará sobre a oportunidade de contratação ou cancelamento do processo de prospecção</w:t>
      </w:r>
      <w:r w:rsidR="00415371">
        <w:rPr>
          <w:rFonts w:cs="Calibri"/>
          <w:color w:val="000000"/>
        </w:rPr>
        <w:t xml:space="preserve"> </w:t>
      </w:r>
      <w:r w:rsidR="006B3BA0" w:rsidRPr="00271FCA">
        <w:rPr>
          <w:rFonts w:cs="Calibri"/>
          <w:color w:val="000000"/>
        </w:rPr>
        <w:t>nos termos do Estatuto Social da CESAMA.</w:t>
      </w:r>
    </w:p>
    <w:p w14:paraId="72AA5338" w14:textId="77777777" w:rsidR="00314D89" w:rsidRDefault="00314D89" w:rsidP="006B3BA0">
      <w:pPr>
        <w:spacing w:after="0" w:line="360" w:lineRule="auto"/>
        <w:jc w:val="both"/>
        <w:rPr>
          <w:rFonts w:cs="Calibri"/>
          <w:b/>
          <w:bCs/>
          <w:color w:val="000000"/>
        </w:rPr>
      </w:pPr>
    </w:p>
    <w:p w14:paraId="5D60998E" w14:textId="2328E372" w:rsidR="006B3BA0" w:rsidRPr="00271FCA" w:rsidRDefault="006B3BA0" w:rsidP="006B3BA0">
      <w:pPr>
        <w:spacing w:after="0" w:line="360" w:lineRule="auto"/>
        <w:jc w:val="both"/>
        <w:rPr>
          <w:rFonts w:cs="Calibri"/>
          <w:b/>
          <w:bCs/>
          <w:color w:val="000000"/>
        </w:rPr>
      </w:pPr>
      <w:r w:rsidRPr="00271FCA">
        <w:rPr>
          <w:rFonts w:cs="Calibri"/>
          <w:b/>
          <w:bCs/>
          <w:color w:val="000000"/>
        </w:rPr>
        <w:t xml:space="preserve">5.VALORES ESTIMADOS </w:t>
      </w:r>
    </w:p>
    <w:p w14:paraId="019554A1" w14:textId="3DD0F8C7" w:rsidR="006B3BA0" w:rsidRPr="00B51EA7" w:rsidRDefault="006B3BA0" w:rsidP="006B3BA0">
      <w:pPr>
        <w:spacing w:after="0" w:line="360" w:lineRule="auto"/>
        <w:jc w:val="both"/>
        <w:rPr>
          <w:rFonts w:cs="Calibri"/>
          <w:color w:val="000000"/>
          <w:highlight w:val="yellow"/>
        </w:rPr>
      </w:pPr>
      <w:r w:rsidRPr="00B51EA7">
        <w:rPr>
          <w:rFonts w:cs="Calibri"/>
          <w:color w:val="000000"/>
          <w:highlight w:val="yellow"/>
        </w:rPr>
        <w:t>5.1 Valor Máximo</w:t>
      </w:r>
      <w:r w:rsidR="00026BF8" w:rsidRPr="00B51EA7">
        <w:rPr>
          <w:rFonts w:cs="Calibri"/>
          <w:color w:val="000000"/>
          <w:highlight w:val="yellow"/>
        </w:rPr>
        <w:t xml:space="preserve"> da </w:t>
      </w:r>
      <w:r w:rsidR="00EE37E3" w:rsidRPr="00B51EA7">
        <w:rPr>
          <w:rFonts w:cs="Calibri"/>
          <w:color w:val="000000"/>
          <w:highlight w:val="yellow"/>
        </w:rPr>
        <w:t>proposta:</w:t>
      </w:r>
      <w:r w:rsidRPr="00B51EA7">
        <w:rPr>
          <w:rFonts w:cs="Calibri"/>
          <w:color w:val="000000"/>
          <w:highlight w:val="yellow"/>
        </w:rPr>
        <w:t xml:space="preserve"> R$ </w:t>
      </w:r>
      <w:r w:rsidR="00703C9D" w:rsidRPr="00B51EA7">
        <w:rPr>
          <w:rFonts w:cs="Calibri"/>
          <w:color w:val="000000"/>
          <w:highlight w:val="yellow"/>
        </w:rPr>
        <w:t>50.000.000,00</w:t>
      </w:r>
    </w:p>
    <w:p w14:paraId="0FDDE949" w14:textId="0C48495D" w:rsidR="006B3BA0" w:rsidRPr="00B51EA7" w:rsidRDefault="006B3BA0" w:rsidP="006B3BA0">
      <w:pPr>
        <w:spacing w:after="0" w:line="360" w:lineRule="auto"/>
        <w:jc w:val="both"/>
        <w:rPr>
          <w:rFonts w:cs="Calibri"/>
          <w:color w:val="000000"/>
          <w:highlight w:val="yellow"/>
        </w:rPr>
      </w:pPr>
      <w:r w:rsidRPr="00B51EA7">
        <w:rPr>
          <w:rFonts w:cs="Calibri"/>
          <w:color w:val="000000"/>
          <w:highlight w:val="yellow"/>
        </w:rPr>
        <w:t>5.</w:t>
      </w:r>
      <w:r w:rsidR="00703C9D" w:rsidRPr="00B51EA7">
        <w:rPr>
          <w:rFonts w:cs="Calibri"/>
          <w:color w:val="000000"/>
          <w:highlight w:val="yellow"/>
        </w:rPr>
        <w:t>2</w:t>
      </w:r>
      <w:r w:rsidRPr="00B51EA7">
        <w:rPr>
          <w:rFonts w:cs="Calibri"/>
          <w:color w:val="000000"/>
          <w:highlight w:val="yellow"/>
        </w:rPr>
        <w:t xml:space="preserve"> Prazo de desembolso </w:t>
      </w:r>
      <w:r w:rsidR="008217D0" w:rsidRPr="00B51EA7">
        <w:rPr>
          <w:rFonts w:cs="Calibri"/>
          <w:color w:val="000000"/>
          <w:highlight w:val="yellow"/>
        </w:rPr>
        <w:t xml:space="preserve">- </w:t>
      </w:r>
      <w:r w:rsidRPr="00B51EA7">
        <w:rPr>
          <w:rFonts w:cs="Calibri"/>
          <w:color w:val="000000"/>
          <w:highlight w:val="yellow"/>
        </w:rPr>
        <w:t xml:space="preserve">5 dias úteis após assinatura contrato </w:t>
      </w:r>
    </w:p>
    <w:p w14:paraId="0D31F08C" w14:textId="6EF28C58" w:rsidR="001B7263" w:rsidRPr="00B51EA7" w:rsidRDefault="00EF59F0" w:rsidP="006B3BA0">
      <w:pPr>
        <w:spacing w:after="0" w:line="360" w:lineRule="auto"/>
        <w:jc w:val="both"/>
        <w:rPr>
          <w:rFonts w:cs="Calibri"/>
          <w:color w:val="000000"/>
          <w:highlight w:val="yellow"/>
        </w:rPr>
      </w:pPr>
      <w:r w:rsidRPr="00B51EA7">
        <w:rPr>
          <w:rFonts w:cs="Calibri"/>
          <w:color w:val="000000"/>
          <w:highlight w:val="yellow"/>
        </w:rPr>
        <w:t>5.</w:t>
      </w:r>
      <w:r w:rsidR="00703C9D" w:rsidRPr="00B51EA7">
        <w:rPr>
          <w:rFonts w:cs="Calibri"/>
          <w:color w:val="000000"/>
          <w:highlight w:val="yellow"/>
        </w:rPr>
        <w:t>3</w:t>
      </w:r>
      <w:r w:rsidRPr="00B51EA7">
        <w:rPr>
          <w:rFonts w:cs="Calibri"/>
          <w:color w:val="000000"/>
          <w:highlight w:val="yellow"/>
        </w:rPr>
        <w:t xml:space="preserve"> Sistema de Amortização: </w:t>
      </w:r>
      <w:r w:rsidR="001B7263" w:rsidRPr="00B51EA7">
        <w:rPr>
          <w:rFonts w:cs="Calibri"/>
          <w:color w:val="000000"/>
          <w:highlight w:val="yellow"/>
        </w:rPr>
        <w:t xml:space="preserve">Sistema de Amortização Constante (SAC) </w:t>
      </w:r>
    </w:p>
    <w:p w14:paraId="14C68120" w14:textId="78438893" w:rsidR="006B3BA0" w:rsidRPr="00B51EA7" w:rsidRDefault="006B3BA0" w:rsidP="006B3BA0">
      <w:pPr>
        <w:spacing w:after="0" w:line="360" w:lineRule="auto"/>
        <w:jc w:val="both"/>
        <w:rPr>
          <w:rFonts w:cs="Calibri"/>
          <w:color w:val="000000"/>
          <w:highlight w:val="yellow"/>
        </w:rPr>
      </w:pPr>
      <w:r w:rsidRPr="00B51EA7">
        <w:rPr>
          <w:rFonts w:cs="Calibri"/>
          <w:color w:val="000000"/>
          <w:highlight w:val="yellow"/>
        </w:rPr>
        <w:t>5.</w:t>
      </w:r>
      <w:r w:rsidR="00703C9D" w:rsidRPr="00B51EA7">
        <w:rPr>
          <w:rFonts w:cs="Calibri"/>
          <w:color w:val="000000"/>
          <w:highlight w:val="yellow"/>
        </w:rPr>
        <w:t>4</w:t>
      </w:r>
      <w:r w:rsidRPr="00B51EA7">
        <w:rPr>
          <w:rFonts w:cs="Calibri"/>
          <w:color w:val="000000"/>
          <w:highlight w:val="yellow"/>
        </w:rPr>
        <w:t xml:space="preserve">. Carência: Até 12 meses por tranche </w:t>
      </w:r>
    </w:p>
    <w:p w14:paraId="60CAC474" w14:textId="67A65DE3" w:rsidR="000A5914" w:rsidRPr="00B51EA7" w:rsidRDefault="000A5914" w:rsidP="006B3BA0">
      <w:pPr>
        <w:spacing w:after="0" w:line="360" w:lineRule="auto"/>
        <w:jc w:val="both"/>
        <w:rPr>
          <w:rFonts w:cs="Calibri"/>
          <w:color w:val="000000"/>
          <w:highlight w:val="yellow"/>
        </w:rPr>
      </w:pPr>
      <w:r w:rsidRPr="00B51EA7">
        <w:rPr>
          <w:rFonts w:cs="Calibri"/>
          <w:color w:val="000000"/>
          <w:highlight w:val="yellow"/>
        </w:rPr>
        <w:t>5.</w:t>
      </w:r>
      <w:r w:rsidR="00703C9D" w:rsidRPr="00B51EA7">
        <w:rPr>
          <w:rFonts w:cs="Calibri"/>
          <w:color w:val="000000"/>
          <w:highlight w:val="yellow"/>
        </w:rPr>
        <w:t>5</w:t>
      </w:r>
      <w:r w:rsidRPr="00B51EA7">
        <w:rPr>
          <w:rFonts w:cs="Calibri"/>
          <w:color w:val="000000"/>
          <w:highlight w:val="yellow"/>
        </w:rPr>
        <w:t xml:space="preserve"> Amortização: 60 meses</w:t>
      </w:r>
      <w:r w:rsidR="007520DA" w:rsidRPr="00B51EA7">
        <w:rPr>
          <w:rFonts w:cs="Calibri"/>
          <w:color w:val="000000"/>
          <w:highlight w:val="yellow"/>
        </w:rPr>
        <w:t xml:space="preserve"> a partir do 13º mês </w:t>
      </w:r>
    </w:p>
    <w:p w14:paraId="280DD33E" w14:textId="0B29A12B" w:rsidR="006B3BA0" w:rsidRPr="00B51EA7" w:rsidRDefault="006B3BA0" w:rsidP="006B3BA0">
      <w:pPr>
        <w:spacing w:after="0" w:line="360" w:lineRule="auto"/>
        <w:jc w:val="both"/>
        <w:rPr>
          <w:rFonts w:cs="Calibri"/>
          <w:color w:val="000000"/>
          <w:highlight w:val="yellow"/>
        </w:rPr>
      </w:pPr>
      <w:r w:rsidRPr="00B51EA7">
        <w:rPr>
          <w:rFonts w:cs="Calibri"/>
          <w:color w:val="000000"/>
          <w:highlight w:val="yellow"/>
        </w:rPr>
        <w:t>5.</w:t>
      </w:r>
      <w:r w:rsidR="00703C9D" w:rsidRPr="00B51EA7">
        <w:rPr>
          <w:rFonts w:cs="Calibri"/>
          <w:color w:val="000000"/>
          <w:highlight w:val="yellow"/>
        </w:rPr>
        <w:t>6</w:t>
      </w:r>
      <w:r w:rsidRPr="00B51EA7">
        <w:rPr>
          <w:rFonts w:cs="Calibri"/>
          <w:color w:val="000000"/>
          <w:highlight w:val="yellow"/>
        </w:rPr>
        <w:t xml:space="preserve">. Prazo total: 72 meses </w:t>
      </w:r>
      <w:r w:rsidR="00FB4748" w:rsidRPr="00B51EA7">
        <w:rPr>
          <w:rFonts w:cs="Calibri"/>
          <w:color w:val="000000"/>
          <w:highlight w:val="yellow"/>
        </w:rPr>
        <w:t>(</w:t>
      </w:r>
      <w:r w:rsidR="00EF59F0" w:rsidRPr="00B51EA7">
        <w:rPr>
          <w:rFonts w:cs="Calibri"/>
          <w:color w:val="000000"/>
          <w:highlight w:val="yellow"/>
        </w:rPr>
        <w:t>Amortização+ Carência)</w:t>
      </w:r>
    </w:p>
    <w:p w14:paraId="4F2E0B52" w14:textId="6A5C84BB" w:rsidR="006B3BA0" w:rsidRPr="00271FCA" w:rsidRDefault="006B3BA0" w:rsidP="00815731">
      <w:pPr>
        <w:rPr>
          <w:rFonts w:cs="Calibri"/>
          <w:color w:val="000000"/>
        </w:rPr>
      </w:pPr>
      <w:r w:rsidRPr="00B51EA7">
        <w:rPr>
          <w:rFonts w:cs="Calibri"/>
          <w:color w:val="000000"/>
          <w:highlight w:val="yellow"/>
        </w:rPr>
        <w:t>5.</w:t>
      </w:r>
      <w:r w:rsidR="00703C9D" w:rsidRPr="00B51EA7">
        <w:rPr>
          <w:rFonts w:cs="Calibri"/>
          <w:color w:val="000000"/>
          <w:highlight w:val="yellow"/>
        </w:rPr>
        <w:t>7</w:t>
      </w:r>
      <w:r w:rsidRPr="00B51EA7">
        <w:rPr>
          <w:rFonts w:cs="Calibri"/>
          <w:color w:val="000000"/>
          <w:highlight w:val="yellow"/>
        </w:rPr>
        <w:t xml:space="preserve"> Garantias oferecidas: Percentual (</w:t>
      </w:r>
      <w:r w:rsidR="004B1DEA" w:rsidRPr="00B51EA7">
        <w:rPr>
          <w:rFonts w:cs="Calibri"/>
          <w:color w:val="000000"/>
          <w:highlight w:val="yellow"/>
        </w:rPr>
        <w:t>10</w:t>
      </w:r>
      <w:r w:rsidRPr="00B51EA7">
        <w:rPr>
          <w:rFonts w:cs="Calibri"/>
          <w:color w:val="000000"/>
          <w:highlight w:val="yellow"/>
        </w:rPr>
        <w:t xml:space="preserve">%) </w:t>
      </w:r>
      <w:r w:rsidR="000F5F2B" w:rsidRPr="00B51EA7">
        <w:rPr>
          <w:rFonts w:cs="Calibri"/>
          <w:color w:val="000000"/>
          <w:highlight w:val="yellow"/>
        </w:rPr>
        <w:t xml:space="preserve">do </w:t>
      </w:r>
      <w:r w:rsidRPr="00B51EA7">
        <w:rPr>
          <w:rFonts w:cs="Calibri"/>
          <w:color w:val="000000"/>
          <w:highlight w:val="yellow"/>
        </w:rPr>
        <w:t>Saldo Devedor em Fluxo mensal de recebíveis na Arrecadação</w:t>
      </w:r>
      <w:r w:rsidRPr="00271FCA">
        <w:rPr>
          <w:rFonts w:cs="Calibri"/>
          <w:color w:val="000000"/>
        </w:rPr>
        <w:t xml:space="preserve"> </w:t>
      </w:r>
    </w:p>
    <w:p w14:paraId="0CCF8B63" w14:textId="77777777" w:rsidR="006B3BA0" w:rsidRPr="00271FCA" w:rsidRDefault="006B3BA0" w:rsidP="006B3BA0">
      <w:pPr>
        <w:spacing w:after="0" w:line="360" w:lineRule="auto"/>
        <w:jc w:val="both"/>
        <w:rPr>
          <w:rFonts w:cs="Calibri"/>
          <w:b/>
          <w:bCs/>
          <w:color w:val="000000"/>
        </w:rPr>
      </w:pPr>
      <w:r w:rsidRPr="00271FCA">
        <w:rPr>
          <w:rFonts w:cs="Calibri"/>
          <w:b/>
          <w:bCs/>
          <w:color w:val="000000"/>
        </w:rPr>
        <w:t xml:space="preserve">6. ENVIO DAS PROPOSTA </w:t>
      </w:r>
    </w:p>
    <w:p w14:paraId="0A0191F7" w14:textId="77777777" w:rsidR="006B3BA0" w:rsidRPr="00EE37E3" w:rsidRDefault="006B3BA0" w:rsidP="006B3BA0">
      <w:pPr>
        <w:spacing w:after="0" w:line="360" w:lineRule="auto"/>
        <w:jc w:val="both"/>
        <w:rPr>
          <w:rFonts w:cs="Calibri"/>
          <w:color w:val="000000"/>
        </w:rPr>
      </w:pPr>
      <w:r w:rsidRPr="00271FCA">
        <w:rPr>
          <w:rFonts w:cs="Calibri"/>
          <w:color w:val="000000"/>
        </w:rPr>
        <w:t xml:space="preserve">6.2 A participação do proponente se pautará ao atendimento das condições abaixo </w:t>
      </w:r>
      <w:r w:rsidRPr="00EE37E3">
        <w:rPr>
          <w:rFonts w:cs="Calibri"/>
          <w:color w:val="000000"/>
        </w:rPr>
        <w:t xml:space="preserve">estabelecidas: </w:t>
      </w:r>
    </w:p>
    <w:p w14:paraId="2CBB6543" w14:textId="46009A96" w:rsidR="00CF6B24" w:rsidRPr="00797330" w:rsidRDefault="006B3BA0" w:rsidP="006B3BA0">
      <w:pPr>
        <w:spacing w:after="0" w:line="360" w:lineRule="auto"/>
        <w:jc w:val="both"/>
        <w:rPr>
          <w:rFonts w:cs="Calibri"/>
          <w:b/>
          <w:bCs/>
          <w:color w:val="000000"/>
        </w:rPr>
      </w:pPr>
      <w:r w:rsidRPr="00201AE2">
        <w:rPr>
          <w:rFonts w:cs="Calibri"/>
          <w:color w:val="000000"/>
        </w:rPr>
        <w:t xml:space="preserve">6.3 O prazo para envio das propostas será de </w:t>
      </w:r>
      <w:r w:rsidR="00201AE2" w:rsidRPr="00797330">
        <w:rPr>
          <w:rFonts w:cs="Calibri"/>
          <w:b/>
          <w:bCs/>
          <w:color w:val="000000"/>
        </w:rPr>
        <w:t>18/06</w:t>
      </w:r>
      <w:r w:rsidR="00CF6B24" w:rsidRPr="00797330">
        <w:rPr>
          <w:rFonts w:cs="Calibri"/>
          <w:b/>
          <w:bCs/>
          <w:color w:val="000000"/>
        </w:rPr>
        <w:t>/2026</w:t>
      </w:r>
      <w:r w:rsidRPr="00797330">
        <w:rPr>
          <w:rFonts w:cs="Calibri"/>
          <w:b/>
          <w:bCs/>
          <w:color w:val="000000"/>
        </w:rPr>
        <w:t xml:space="preserve"> a </w:t>
      </w:r>
      <w:r w:rsidR="00201AE2" w:rsidRPr="00797330">
        <w:rPr>
          <w:rFonts w:cs="Calibri"/>
          <w:b/>
          <w:bCs/>
          <w:color w:val="000000"/>
        </w:rPr>
        <w:t>26/06</w:t>
      </w:r>
      <w:r w:rsidRPr="00797330">
        <w:rPr>
          <w:rFonts w:cs="Calibri"/>
          <w:b/>
          <w:bCs/>
          <w:color w:val="000000"/>
        </w:rPr>
        <w:t xml:space="preserve">/2026 </w:t>
      </w:r>
      <w:r w:rsidR="00797330" w:rsidRPr="00797330">
        <w:rPr>
          <w:rFonts w:cs="Calibri"/>
          <w:b/>
          <w:bCs/>
          <w:color w:val="000000"/>
        </w:rPr>
        <w:t>às</w:t>
      </w:r>
      <w:r w:rsidRPr="00797330">
        <w:rPr>
          <w:rFonts w:cs="Calibri"/>
          <w:b/>
          <w:bCs/>
          <w:color w:val="000000"/>
        </w:rPr>
        <w:t xml:space="preserve"> 17:00; </w:t>
      </w:r>
    </w:p>
    <w:p w14:paraId="100ED17F" w14:textId="525456B5" w:rsidR="006B3BA0" w:rsidRPr="00A97904" w:rsidRDefault="006B3BA0" w:rsidP="006B3BA0">
      <w:pPr>
        <w:spacing w:after="0" w:line="360" w:lineRule="auto"/>
        <w:jc w:val="both"/>
        <w:rPr>
          <w:rFonts w:cs="Calibri"/>
          <w:b/>
          <w:bCs/>
          <w:color w:val="000000"/>
        </w:rPr>
      </w:pPr>
      <w:r w:rsidRPr="00201AE2">
        <w:rPr>
          <w:rFonts w:cs="Calibri"/>
          <w:color w:val="000000"/>
        </w:rPr>
        <w:t>6.4 Forma de Envio das Propostas: Deverá ser</w:t>
      </w:r>
      <w:r w:rsidRPr="00201AE2">
        <w:rPr>
          <w:rFonts w:cs="Calibri"/>
          <w:b/>
          <w:bCs/>
          <w:color w:val="000000"/>
        </w:rPr>
        <w:t xml:space="preserve"> </w:t>
      </w:r>
      <w:r w:rsidRPr="00B51EA7">
        <w:rPr>
          <w:rFonts w:cs="Calibri"/>
          <w:b/>
          <w:bCs/>
          <w:color w:val="000000"/>
          <w:highlight w:val="yellow"/>
        </w:rPr>
        <w:t>enviada</w:t>
      </w:r>
      <w:r w:rsidR="005254A2" w:rsidRPr="00B51EA7">
        <w:rPr>
          <w:rFonts w:cs="Calibri"/>
          <w:b/>
          <w:bCs/>
          <w:color w:val="000000"/>
          <w:highlight w:val="yellow"/>
        </w:rPr>
        <w:t xml:space="preserve"> por e-mail</w:t>
      </w:r>
      <w:r w:rsidR="00142991" w:rsidRPr="00B51EA7">
        <w:rPr>
          <w:rFonts w:cs="Calibri"/>
          <w:b/>
          <w:bCs/>
          <w:color w:val="000000"/>
          <w:highlight w:val="yellow"/>
        </w:rPr>
        <w:t xml:space="preserve"> </w:t>
      </w:r>
      <w:hyperlink r:id="rId7" w:history="1">
        <w:r w:rsidR="00142991" w:rsidRPr="00B51EA7">
          <w:rPr>
            <w:rStyle w:val="Hyperlink"/>
            <w:rFonts w:cs="Calibri"/>
            <w:b/>
            <w:bCs/>
            <w:highlight w:val="yellow"/>
          </w:rPr>
          <w:t>chamamentopublico00126</w:t>
        </w:r>
        <w:r w:rsidR="00CB4E72" w:rsidRPr="00B51EA7">
          <w:rPr>
            <w:rStyle w:val="Hyperlink"/>
            <w:rFonts w:cs="Calibri"/>
            <w:b/>
            <w:bCs/>
            <w:highlight w:val="yellow"/>
          </w:rPr>
          <w:t>@cesama.com.br</w:t>
        </w:r>
      </w:hyperlink>
      <w:r w:rsidR="00240C55" w:rsidRPr="00201AE2">
        <w:rPr>
          <w:rFonts w:cs="Calibri"/>
          <w:b/>
          <w:bCs/>
          <w:color w:val="000000"/>
        </w:rPr>
        <w:t xml:space="preserve"> até as 17h</w:t>
      </w:r>
      <w:r w:rsidRPr="00201AE2">
        <w:rPr>
          <w:rFonts w:cs="Calibri"/>
          <w:b/>
          <w:bCs/>
          <w:color w:val="000000"/>
        </w:rPr>
        <w:t xml:space="preserve"> ou entregue na recepção da </w:t>
      </w:r>
      <w:r w:rsidR="00797330" w:rsidRPr="00201AE2">
        <w:rPr>
          <w:rFonts w:cs="Calibri"/>
          <w:b/>
          <w:bCs/>
          <w:color w:val="000000"/>
        </w:rPr>
        <w:t>Cesama,</w:t>
      </w:r>
      <w:r w:rsidRPr="00201AE2">
        <w:rPr>
          <w:rFonts w:cs="Calibri"/>
          <w:b/>
          <w:bCs/>
          <w:color w:val="000000"/>
        </w:rPr>
        <w:t xml:space="preserve"> no endereço Av. Rio Branco 1843 – Centro - Juiz de Fora – MG aos cuidados da Comissão de Avaliação do Chamamento Público – Request for </w:t>
      </w:r>
      <w:proofErr w:type="spellStart"/>
      <w:r w:rsidRPr="00201AE2">
        <w:rPr>
          <w:rFonts w:cs="Calibri"/>
          <w:b/>
          <w:bCs/>
          <w:color w:val="000000"/>
        </w:rPr>
        <w:t>Proposal</w:t>
      </w:r>
      <w:proofErr w:type="spellEnd"/>
      <w:r w:rsidRPr="00201AE2">
        <w:rPr>
          <w:rFonts w:cs="Calibri"/>
          <w:b/>
          <w:bCs/>
          <w:color w:val="000000"/>
        </w:rPr>
        <w:t xml:space="preserve"> (RFP) - 0001/2026</w:t>
      </w:r>
      <w:r w:rsidR="00240C55" w:rsidRPr="00201AE2">
        <w:rPr>
          <w:rFonts w:cs="Calibri"/>
          <w:b/>
          <w:bCs/>
          <w:color w:val="000000"/>
        </w:rPr>
        <w:t>,</w:t>
      </w:r>
      <w:r w:rsidR="00797330">
        <w:rPr>
          <w:rFonts w:cs="Calibri"/>
          <w:b/>
          <w:bCs/>
          <w:color w:val="000000"/>
        </w:rPr>
        <w:t xml:space="preserve"> até</w:t>
      </w:r>
      <w:r w:rsidR="00240C55" w:rsidRPr="00201AE2">
        <w:rPr>
          <w:rFonts w:cs="Calibri"/>
          <w:b/>
          <w:bCs/>
          <w:color w:val="000000"/>
        </w:rPr>
        <w:t xml:space="preserve"> as 17h</w:t>
      </w:r>
    </w:p>
    <w:p w14:paraId="2919C127" w14:textId="77777777" w:rsidR="006B3BA0" w:rsidRPr="00271FCA" w:rsidRDefault="006B3BA0" w:rsidP="006B3BA0">
      <w:pPr>
        <w:spacing w:after="0" w:line="360" w:lineRule="auto"/>
        <w:jc w:val="both"/>
        <w:rPr>
          <w:rFonts w:cs="Calibri"/>
          <w:color w:val="000000"/>
        </w:rPr>
      </w:pPr>
      <w:r w:rsidRPr="00271FCA">
        <w:rPr>
          <w:rFonts w:cs="Calibri"/>
          <w:color w:val="000000"/>
        </w:rPr>
        <w:t>6.5 O conteúdo da posposta deverá conter os seguintes dados:</w:t>
      </w:r>
    </w:p>
    <w:p w14:paraId="50397E29" w14:textId="68AB8BB2"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Instituição financeira</w:t>
      </w:r>
    </w:p>
    <w:p w14:paraId="56BB120E"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Tomador: CESAMA – Companhia de Saneamento Municipal </w:t>
      </w:r>
    </w:p>
    <w:p w14:paraId="3243DC0C"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Modalidade da operação</w:t>
      </w:r>
    </w:p>
    <w:p w14:paraId="49F02B98" w14:textId="3FBCDB9A"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Sistema de amortização (SAC </w:t>
      </w:r>
      <w:r w:rsidR="00824027">
        <w:rPr>
          <w:rFonts w:cs="Calibri"/>
          <w:color w:val="000000"/>
        </w:rPr>
        <w:t>)</w:t>
      </w:r>
    </w:p>
    <w:p w14:paraId="30E44BE5" w14:textId="248259F2"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Valor Financiado</w:t>
      </w:r>
      <w:r w:rsidR="00824027">
        <w:rPr>
          <w:rFonts w:cs="Calibri"/>
          <w:color w:val="000000"/>
        </w:rPr>
        <w:t>:</w:t>
      </w:r>
    </w:p>
    <w:p w14:paraId="0E2619BE"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Valor total contratado: </w:t>
      </w:r>
    </w:p>
    <w:p w14:paraId="79A22D96"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Data de contratação:</w:t>
      </w:r>
    </w:p>
    <w:p w14:paraId="151CA272"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lastRenderedPageBreak/>
        <w:t xml:space="preserve"> Data do primeiro vencimento: </w:t>
      </w:r>
    </w:p>
    <w:p w14:paraId="1A81D18C"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Prazo total (em meses): </w:t>
      </w:r>
    </w:p>
    <w:p w14:paraId="662A5086"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Carência (em meses): </w:t>
      </w:r>
    </w:p>
    <w:p w14:paraId="13EC1129" w14:textId="0C257282" w:rsidR="006B3BA0" w:rsidRPr="000C0919" w:rsidRDefault="006B3BA0" w:rsidP="006B3BA0">
      <w:pPr>
        <w:pStyle w:val="PargrafodaLista"/>
        <w:numPr>
          <w:ilvl w:val="0"/>
          <w:numId w:val="1"/>
        </w:numPr>
        <w:spacing w:after="0" w:line="360" w:lineRule="auto"/>
        <w:jc w:val="both"/>
        <w:rPr>
          <w:rFonts w:cs="Calibri"/>
          <w:color w:val="000000"/>
        </w:rPr>
      </w:pPr>
      <w:r w:rsidRPr="000C0919">
        <w:rPr>
          <w:rFonts w:cs="Calibri"/>
          <w:color w:val="000000"/>
        </w:rPr>
        <w:t>Indexador</w:t>
      </w:r>
      <w:r w:rsidR="006737C6" w:rsidRPr="000C0919">
        <w:rPr>
          <w:rFonts w:cs="Calibri"/>
          <w:color w:val="000000"/>
        </w:rPr>
        <w:t>: CDI</w:t>
      </w:r>
      <w:r w:rsidR="00474454" w:rsidRPr="000C0919">
        <w:rPr>
          <w:rFonts w:cs="Calibri"/>
          <w:color w:val="000000"/>
        </w:rPr>
        <w:t xml:space="preserve"> acrescido de um spread ou sobretaxa ao ano, base 252 dias úteis, ao qual será calculada sobre o saldo devedor de operação</w:t>
      </w:r>
    </w:p>
    <w:p w14:paraId="7BB0BB3E"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Taxa nominal (% a.a.): </w:t>
      </w:r>
    </w:p>
    <w:p w14:paraId="19F5F783"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Forma de capitalização (mensal / diária): </w:t>
      </w:r>
    </w:p>
    <w:p w14:paraId="32D3C781" w14:textId="77777777" w:rsidR="006B3BA0"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Encargos adicionais (tarifas, seguros, custos de garantia): </w:t>
      </w:r>
    </w:p>
    <w:p w14:paraId="2D9B3391" w14:textId="5263A89B" w:rsidR="006B3BA0" w:rsidRPr="00B51EA7" w:rsidRDefault="006B3BA0" w:rsidP="006B3BA0">
      <w:pPr>
        <w:pStyle w:val="PargrafodaLista"/>
        <w:numPr>
          <w:ilvl w:val="0"/>
          <w:numId w:val="1"/>
        </w:numPr>
        <w:spacing w:after="0" w:line="360" w:lineRule="auto"/>
        <w:jc w:val="both"/>
        <w:rPr>
          <w:rFonts w:cs="Calibri"/>
          <w:color w:val="000000"/>
          <w:highlight w:val="yellow"/>
        </w:rPr>
      </w:pPr>
      <w:r w:rsidRPr="00B51EA7">
        <w:rPr>
          <w:rFonts w:cs="Calibri"/>
          <w:b/>
          <w:bCs/>
          <w:color w:val="000000"/>
          <w:highlight w:val="yellow"/>
        </w:rPr>
        <w:t>Custo Efetivo Total (CET):</w:t>
      </w:r>
      <w:r w:rsidR="00BD6CA4" w:rsidRPr="00B51EA7">
        <w:rPr>
          <w:rFonts w:cs="Calibri"/>
          <w:b/>
          <w:bCs/>
          <w:color w:val="000000"/>
          <w:highlight w:val="yellow"/>
        </w:rPr>
        <w:t xml:space="preserve"> </w:t>
      </w:r>
      <w:r w:rsidR="00F83678" w:rsidRPr="00B51EA7">
        <w:rPr>
          <w:rFonts w:cs="Calibri"/>
          <w:color w:val="000000"/>
          <w:highlight w:val="yellow"/>
        </w:rPr>
        <w:t>juros, capitalização, encargos, tarifas, seguros, garantias e demais acessórios.</w:t>
      </w:r>
    </w:p>
    <w:p w14:paraId="0E836F68" w14:textId="77777777" w:rsidR="006B3BA0" w:rsidRPr="00271FCA" w:rsidRDefault="006B3BA0" w:rsidP="006B3BA0">
      <w:pPr>
        <w:pStyle w:val="PargrafodaLista"/>
        <w:numPr>
          <w:ilvl w:val="0"/>
          <w:numId w:val="1"/>
        </w:numPr>
        <w:spacing w:after="0" w:line="360" w:lineRule="auto"/>
        <w:jc w:val="both"/>
        <w:rPr>
          <w:rFonts w:cs="Calibri"/>
          <w:color w:val="000000"/>
        </w:rPr>
      </w:pPr>
      <w:r w:rsidRPr="00271FCA">
        <w:rPr>
          <w:rFonts w:cs="Calibri"/>
          <w:color w:val="000000"/>
        </w:rPr>
        <w:t xml:space="preserve">Planilha completa de amortização e evolução do crédito, contendo: </w:t>
      </w:r>
    </w:p>
    <w:p w14:paraId="76812839"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Nº da parcela </w:t>
      </w:r>
    </w:p>
    <w:p w14:paraId="75FF7027"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Data de vencimento </w:t>
      </w:r>
    </w:p>
    <w:p w14:paraId="44C6A60E"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Saldo devedor inicial </w:t>
      </w:r>
    </w:p>
    <w:p w14:paraId="0743ED1E"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Atualização monetária (se houver indexador) </w:t>
      </w:r>
    </w:p>
    <w:p w14:paraId="60EE36ED"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Juros do período </w:t>
      </w:r>
    </w:p>
    <w:p w14:paraId="6973C48F"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Amortização do principal </w:t>
      </w:r>
    </w:p>
    <w:p w14:paraId="62B70463"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Parcela total (amortização + juros) </w:t>
      </w:r>
    </w:p>
    <w:p w14:paraId="77C2B085"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Encargos adicionais (tarifas, seguros, custos de garantia) </w:t>
      </w:r>
    </w:p>
    <w:p w14:paraId="2469087C"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Fluxo total desembolsado </w:t>
      </w:r>
    </w:p>
    <w:p w14:paraId="1F0B50D6" w14:textId="77777777" w:rsidR="006B3BA0"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 xml:space="preserve">Saldo devedor final </w:t>
      </w:r>
    </w:p>
    <w:p w14:paraId="10ECAAF0" w14:textId="3B4FA604" w:rsidR="00660E2F" w:rsidRPr="00271FCA" w:rsidRDefault="00660E2F" w:rsidP="006B3BA0">
      <w:pPr>
        <w:pStyle w:val="PargrafodaLista"/>
        <w:numPr>
          <w:ilvl w:val="1"/>
          <w:numId w:val="1"/>
        </w:numPr>
        <w:spacing w:after="0" w:line="360" w:lineRule="auto"/>
        <w:jc w:val="both"/>
        <w:rPr>
          <w:rFonts w:cs="Calibri"/>
          <w:color w:val="000000"/>
        </w:rPr>
      </w:pPr>
      <w:r>
        <w:rPr>
          <w:rFonts w:cs="Calibri"/>
          <w:color w:val="000000"/>
        </w:rPr>
        <w:t>Custo Efetivo Total</w:t>
      </w:r>
      <w:r w:rsidR="00DA1A20">
        <w:rPr>
          <w:rFonts w:cs="Calibri"/>
          <w:color w:val="000000"/>
        </w:rPr>
        <w:t xml:space="preserve"> </w:t>
      </w:r>
    </w:p>
    <w:p w14:paraId="0E3FE0B4" w14:textId="77777777" w:rsidR="006B3BA0" w:rsidRPr="00271FCA" w:rsidRDefault="006B3BA0" w:rsidP="006B3BA0">
      <w:pPr>
        <w:pStyle w:val="PargrafodaLista"/>
        <w:numPr>
          <w:ilvl w:val="1"/>
          <w:numId w:val="1"/>
        </w:numPr>
        <w:spacing w:after="0" w:line="360" w:lineRule="auto"/>
        <w:jc w:val="both"/>
        <w:rPr>
          <w:rFonts w:cs="Calibri"/>
          <w:color w:val="000000"/>
        </w:rPr>
      </w:pPr>
      <w:r w:rsidRPr="00271FCA">
        <w:rPr>
          <w:rFonts w:cs="Calibri"/>
          <w:color w:val="000000"/>
        </w:rPr>
        <w:t>Observações (carência, amortização negativa, alterações contratuais, eventos extraordinários)</w:t>
      </w:r>
    </w:p>
    <w:p w14:paraId="48CA0CA6" w14:textId="19FBA384" w:rsidR="006B3BA0" w:rsidRPr="00271FCA" w:rsidRDefault="006B3BA0" w:rsidP="006B3BA0">
      <w:pPr>
        <w:spacing w:after="0" w:line="360" w:lineRule="auto"/>
        <w:jc w:val="both"/>
        <w:rPr>
          <w:rFonts w:cs="Calibri"/>
          <w:color w:val="000000"/>
        </w:rPr>
      </w:pPr>
      <w:r w:rsidRPr="00271FCA">
        <w:rPr>
          <w:rFonts w:cs="Calibri"/>
          <w:color w:val="000000"/>
        </w:rPr>
        <w:t xml:space="preserve"> 6.6 Os termos desta </w:t>
      </w:r>
      <w:r w:rsidR="008A5ED7">
        <w:rPr>
          <w:rFonts w:cs="Calibri"/>
          <w:color w:val="000000"/>
        </w:rPr>
        <w:t>seleção</w:t>
      </w:r>
      <w:r w:rsidRPr="00271FCA">
        <w:rPr>
          <w:rFonts w:cs="Calibri"/>
          <w:color w:val="000000"/>
        </w:rPr>
        <w:t xml:space="preserve"> de Proposta Indicativa e as informações dela resultantes são confidenciais, não devendo ser publicados ou divulgados a terceiros, por qualquer meio, sem o prévio consentimento por escrito da Companhia. </w:t>
      </w:r>
    </w:p>
    <w:p w14:paraId="225967E9" w14:textId="3E0E61C8" w:rsidR="006B3BA0" w:rsidRPr="00271FCA" w:rsidRDefault="006B3BA0" w:rsidP="006B3BA0">
      <w:pPr>
        <w:spacing w:after="0" w:line="360" w:lineRule="auto"/>
        <w:jc w:val="both"/>
        <w:rPr>
          <w:rFonts w:cs="Calibri"/>
          <w:b/>
          <w:bCs/>
          <w:color w:val="000000"/>
        </w:rPr>
      </w:pPr>
      <w:r w:rsidRPr="00271FCA">
        <w:rPr>
          <w:rFonts w:cs="Calibri"/>
          <w:b/>
          <w:bCs/>
          <w:color w:val="000000"/>
        </w:rPr>
        <w:t>7.1. SELEÇÃO DA PROPOSTA, DA DIVULGAÇÃO DO RESULTADO E DO RECURSO</w:t>
      </w:r>
    </w:p>
    <w:p w14:paraId="3769D0A6" w14:textId="77777777" w:rsidR="006B3BA0" w:rsidRDefault="006B3BA0" w:rsidP="006B3BA0">
      <w:pPr>
        <w:spacing w:after="0" w:line="360" w:lineRule="auto"/>
        <w:jc w:val="both"/>
        <w:rPr>
          <w:rFonts w:cs="Calibri"/>
          <w:strike/>
          <w:color w:val="000000"/>
        </w:rPr>
      </w:pPr>
      <w:r w:rsidRPr="00271FCA">
        <w:rPr>
          <w:rFonts w:cs="Calibri"/>
          <w:color w:val="000000"/>
        </w:rPr>
        <w:t>7.2 A seleção será pelo menor custo financeiro total</w:t>
      </w:r>
      <w:r w:rsidRPr="003F6849">
        <w:rPr>
          <w:rFonts w:cs="Calibri"/>
          <w:color w:val="000000"/>
        </w:rPr>
        <w:t>, considerando:</w:t>
      </w:r>
      <w:r w:rsidRPr="003F6849">
        <w:rPr>
          <w:rFonts w:cs="Calibri"/>
          <w:strike/>
          <w:color w:val="000000"/>
        </w:rPr>
        <w:t xml:space="preserve"> </w:t>
      </w:r>
    </w:p>
    <w:p w14:paraId="5F891BD2" w14:textId="77777777" w:rsidR="006B3BA0" w:rsidRPr="00BD63D6" w:rsidRDefault="006B3BA0" w:rsidP="006B3BA0">
      <w:pPr>
        <w:spacing w:after="0" w:line="360" w:lineRule="auto"/>
        <w:jc w:val="both"/>
        <w:rPr>
          <w:rFonts w:cs="Calibri"/>
          <w:b/>
          <w:bCs/>
          <w:color w:val="000000"/>
        </w:rPr>
      </w:pPr>
      <w:r w:rsidRPr="00BD63D6">
        <w:rPr>
          <w:rFonts w:cs="Calibri"/>
          <w:b/>
          <w:bCs/>
          <w:color w:val="000000"/>
        </w:rPr>
        <w:t>a) Custo Efetivo Total (CET) da operação.</w:t>
      </w:r>
    </w:p>
    <w:p w14:paraId="75D0C274" w14:textId="77777777" w:rsidR="00271FCA" w:rsidRPr="00271FCA" w:rsidRDefault="006B3BA0" w:rsidP="006B3BA0">
      <w:pPr>
        <w:spacing w:after="0" w:line="360" w:lineRule="auto"/>
        <w:jc w:val="both"/>
        <w:rPr>
          <w:rFonts w:cs="Calibri"/>
          <w:color w:val="000000"/>
        </w:rPr>
      </w:pPr>
      <w:r w:rsidRPr="00271FCA">
        <w:rPr>
          <w:rFonts w:cs="Calibri"/>
          <w:color w:val="000000"/>
        </w:rPr>
        <w:t xml:space="preserve">7.3 A proposta deverá ser apresentada em papel timbrado da própria requerente, devidamente digitado sem emendas, rasuras, entrelinhas, ou ambiguidade, instruído com os documentos de </w:t>
      </w:r>
      <w:r w:rsidRPr="00271FCA">
        <w:rPr>
          <w:rFonts w:cs="Calibri"/>
          <w:color w:val="000000"/>
        </w:rPr>
        <w:lastRenderedPageBreak/>
        <w:t xml:space="preserve">habilitação para pré-qualificação solicitados neste Chamamento Público – Request for Proposal 0001/2026. </w:t>
      </w:r>
    </w:p>
    <w:p w14:paraId="52CF9060" w14:textId="77777777" w:rsidR="00271FCA" w:rsidRPr="00271FCA" w:rsidRDefault="006B3BA0" w:rsidP="006B3BA0">
      <w:pPr>
        <w:spacing w:after="0" w:line="360" w:lineRule="auto"/>
        <w:jc w:val="both"/>
        <w:rPr>
          <w:rFonts w:cs="Calibri"/>
          <w:color w:val="000000"/>
        </w:rPr>
      </w:pPr>
      <w:r w:rsidRPr="00271FCA">
        <w:rPr>
          <w:rFonts w:cs="Calibri"/>
          <w:color w:val="000000"/>
        </w:rPr>
        <w:t xml:space="preserve">7.4 Os documentos de habilitação do Chamamento Público – Request for Proposal 0001/2026 para futura Contratação de Operação de Crédito apresentados pelas empresas serão analisados e julgados por comissão instituída pelo Diretor Presidente da Cesama contendo membros da área financeira e administrativa, que emitirá parecer conclusivo. </w:t>
      </w:r>
    </w:p>
    <w:p w14:paraId="3100BCDF" w14:textId="77777777" w:rsidR="00271FCA" w:rsidRPr="00271FCA" w:rsidRDefault="006B3BA0" w:rsidP="006B3BA0">
      <w:pPr>
        <w:spacing w:after="0" w:line="360" w:lineRule="auto"/>
        <w:jc w:val="both"/>
        <w:rPr>
          <w:rFonts w:cs="Calibri"/>
          <w:color w:val="000000"/>
        </w:rPr>
      </w:pPr>
      <w:r w:rsidRPr="00271FCA">
        <w:rPr>
          <w:rFonts w:cs="Calibri"/>
          <w:color w:val="000000"/>
        </w:rPr>
        <w:t xml:space="preserve">7.5 A documentação referente à habilitação será objeto de análise e a conformidade dos documentos será verificada, sendo desclassificadas, motivadamente, aquelas que não estiverem adequadas aos requisitos exigidos no Chamamento Público – Request for Proposal 0001/2026 e seus anexos </w:t>
      </w:r>
    </w:p>
    <w:p w14:paraId="1D1E3ECA" w14:textId="77777777" w:rsidR="00271FCA" w:rsidRPr="00271FCA" w:rsidRDefault="006B3BA0" w:rsidP="006B3BA0">
      <w:pPr>
        <w:spacing w:after="0" w:line="360" w:lineRule="auto"/>
        <w:jc w:val="both"/>
        <w:rPr>
          <w:rFonts w:cs="Calibri"/>
          <w:color w:val="000000"/>
        </w:rPr>
      </w:pPr>
      <w:r w:rsidRPr="00271FCA">
        <w:rPr>
          <w:rFonts w:cs="Calibri"/>
          <w:color w:val="000000"/>
        </w:rPr>
        <w:t xml:space="preserve">7.6 A proposta vencedora será aquela que apresentar o menor Custo Efetivo Total considerando todos os critérios mencionados no item 7.2, Em caso de empate, será realizada uma nova rodada para apresentação de novas propostas com os agentes que estiverem nesta condição. </w:t>
      </w:r>
    </w:p>
    <w:p w14:paraId="4FB97197" w14:textId="77777777" w:rsidR="00271FCA" w:rsidRPr="00271FCA" w:rsidRDefault="006B3BA0" w:rsidP="006B3BA0">
      <w:pPr>
        <w:spacing w:after="0" w:line="360" w:lineRule="auto"/>
        <w:jc w:val="both"/>
        <w:rPr>
          <w:rFonts w:cs="Calibri"/>
          <w:color w:val="000000"/>
        </w:rPr>
      </w:pPr>
      <w:r w:rsidRPr="00271FCA">
        <w:rPr>
          <w:rFonts w:cs="Calibri"/>
          <w:color w:val="000000"/>
        </w:rPr>
        <w:t xml:space="preserve">7.7 O resultado do julgamento dos documentos de habilitação será divulgado no Diário Oficial do Município e no site da Cesama em até 5 (cinco) dias úteis do prazo final de entrega das propostas. </w:t>
      </w:r>
    </w:p>
    <w:p w14:paraId="50B4F81F" w14:textId="77777777" w:rsidR="001679DB" w:rsidRDefault="006B3BA0" w:rsidP="006B3BA0">
      <w:pPr>
        <w:spacing w:after="0" w:line="360" w:lineRule="auto"/>
        <w:jc w:val="both"/>
        <w:rPr>
          <w:rFonts w:cs="Calibri"/>
          <w:color w:val="000000"/>
        </w:rPr>
      </w:pPr>
      <w:r w:rsidRPr="00271FCA">
        <w:rPr>
          <w:rFonts w:cs="Calibri"/>
          <w:color w:val="000000"/>
        </w:rPr>
        <w:t>7.8 As propostas apresentadas de forma incompleta, rasurado, com documentos vencidos ou em desacordo com o estabelecido neste Chamamento Público – Request for Proposal 0001/2026, serão consideradas inaptas, arquivadas dentro do processo e informado ao requerente. Caso seja possível sua regularização, podendo este emendá-la, reapresentando</w:t>
      </w:r>
      <w:r w:rsidR="00271FCA" w:rsidRPr="00271FCA">
        <w:rPr>
          <w:rFonts w:cs="Calibri"/>
          <w:color w:val="000000"/>
        </w:rPr>
        <w:t xml:space="preserve"> o durante o período de vigência divulgado no Chamamento Público – Request for Proposal 0001/2026, corrigidas as pendências ou irregularidades apontadas, o requerente será declarado apto. </w:t>
      </w:r>
    </w:p>
    <w:p w14:paraId="0D0C943F" w14:textId="77777777" w:rsidR="001679DB" w:rsidRDefault="00271FCA" w:rsidP="006B3BA0">
      <w:pPr>
        <w:spacing w:after="0" w:line="360" w:lineRule="auto"/>
        <w:jc w:val="both"/>
        <w:rPr>
          <w:rFonts w:cs="Calibri"/>
          <w:color w:val="000000"/>
        </w:rPr>
      </w:pPr>
      <w:r w:rsidRPr="00271FCA">
        <w:rPr>
          <w:rFonts w:cs="Calibri"/>
          <w:color w:val="000000"/>
        </w:rPr>
        <w:t xml:space="preserve">7.9 Os interessados poderão recorrer do resultado publicado, apresentando suas razões devidamente fundamentadas e por escrito, no prazo de até 5 (cinco) dias úteis contados do primeiro dia subsequente à data da 1º (primeira) divulgação. </w:t>
      </w:r>
    </w:p>
    <w:p w14:paraId="30A1DDF3" w14:textId="77777777" w:rsidR="001679DB" w:rsidRDefault="00271FCA" w:rsidP="006B3BA0">
      <w:pPr>
        <w:spacing w:after="0" w:line="360" w:lineRule="auto"/>
        <w:jc w:val="both"/>
        <w:rPr>
          <w:rFonts w:cs="Calibri"/>
          <w:color w:val="000000"/>
        </w:rPr>
      </w:pPr>
      <w:r w:rsidRPr="00271FCA">
        <w:rPr>
          <w:rFonts w:cs="Calibri"/>
          <w:color w:val="000000"/>
        </w:rPr>
        <w:t xml:space="preserve">7.10 O recurso limitar-se-á a questões relativas à habilitação, considerando, exclusivamente, a documentação apresentada para esta finalidade, não sendo considerado documento anexado em fase de recurso. </w:t>
      </w:r>
    </w:p>
    <w:p w14:paraId="2AFED6BA" w14:textId="369FEF08" w:rsidR="001679DB" w:rsidRDefault="00271FCA" w:rsidP="006B3BA0">
      <w:pPr>
        <w:spacing w:after="0" w:line="360" w:lineRule="auto"/>
        <w:jc w:val="both"/>
        <w:rPr>
          <w:rFonts w:cs="Calibri"/>
          <w:color w:val="000000"/>
        </w:rPr>
      </w:pPr>
      <w:r w:rsidRPr="00271FCA">
        <w:rPr>
          <w:rFonts w:cs="Calibri"/>
          <w:color w:val="000000"/>
        </w:rPr>
        <w:t xml:space="preserve">7.11 Finalizado o prazo de recurso habilitação será divulgado o resultado oficial no Diário Oficial do Município e no site da Cesama. </w:t>
      </w:r>
    </w:p>
    <w:p w14:paraId="0FE59D32" w14:textId="77777777" w:rsidR="001679DB" w:rsidRPr="001679DB" w:rsidRDefault="00271FCA" w:rsidP="006B3BA0">
      <w:pPr>
        <w:spacing w:after="0" w:line="360" w:lineRule="auto"/>
        <w:jc w:val="both"/>
        <w:rPr>
          <w:rFonts w:cs="Calibri"/>
          <w:b/>
          <w:bCs/>
          <w:color w:val="000000"/>
        </w:rPr>
      </w:pPr>
      <w:r w:rsidRPr="001679DB">
        <w:rPr>
          <w:rFonts w:cs="Calibri"/>
          <w:b/>
          <w:bCs/>
          <w:color w:val="000000"/>
        </w:rPr>
        <w:t xml:space="preserve">8. CONDIÇÕES GERAIS </w:t>
      </w:r>
    </w:p>
    <w:p w14:paraId="1B3E88BE" w14:textId="0D805911" w:rsidR="00271FCA" w:rsidRPr="00271FCA" w:rsidRDefault="00271FCA" w:rsidP="006B3BA0">
      <w:pPr>
        <w:spacing w:after="0" w:line="360" w:lineRule="auto"/>
        <w:jc w:val="both"/>
        <w:rPr>
          <w:rFonts w:cs="Calibri"/>
          <w:color w:val="000000"/>
        </w:rPr>
      </w:pPr>
      <w:r w:rsidRPr="00271FCA">
        <w:rPr>
          <w:rFonts w:cs="Calibri"/>
          <w:color w:val="000000"/>
        </w:rPr>
        <w:lastRenderedPageBreak/>
        <w:t xml:space="preserve">8.1 Os termos de que trata a proposta, assim como documentos que eventualmente sejam disponibilizados pela Cesama à proponente, como atas, estatutos, pareceres, despachos, relatórios financeiros e qualquer outro documento de sua propriedade, são de caráter confidencial, podendo a Cesama, a seu exclusivo critério, exigir a celebração de Acordo de Confidencialidade entre as partes, como forma de garantir a proteção das informações. </w:t>
      </w:r>
    </w:p>
    <w:p w14:paraId="1CA4DE19"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8.2 O acesso ao envio das propostas é livre a todas as Instituições Financeiras legalmente constituídas, tais como Bancos Públicos, Privados e Cooperativas de Crédito. </w:t>
      </w:r>
    </w:p>
    <w:p w14:paraId="3806DBA2" w14:textId="77777777" w:rsidR="00271FCA" w:rsidRDefault="00271FCA" w:rsidP="006B3BA0">
      <w:pPr>
        <w:spacing w:after="0" w:line="360" w:lineRule="auto"/>
        <w:jc w:val="both"/>
        <w:rPr>
          <w:rFonts w:cs="Calibri"/>
          <w:color w:val="000000"/>
        </w:rPr>
      </w:pPr>
      <w:r w:rsidRPr="00271FCA">
        <w:rPr>
          <w:rFonts w:cs="Calibri"/>
          <w:color w:val="000000"/>
        </w:rPr>
        <w:t xml:space="preserve">8.3 Na vigência do ato convocatório, a CESAMA, através da da Comissão de Avaliação do Chamamento Público – Request for Proposal (RFP) - 0001/2026, receberá as propostas das instituições financeiras, com observância nas exigências constantes neste Chamamento Público, no que couber, e, no Regulamento Interno de Licitações, Contratos e Convênios da CESAMA. </w:t>
      </w:r>
    </w:p>
    <w:p w14:paraId="78ADA036" w14:textId="0996F708" w:rsidR="00B21F8D" w:rsidRPr="00B51EA7" w:rsidRDefault="00EF10C1" w:rsidP="00B21F8D">
      <w:pPr>
        <w:spacing w:after="0" w:line="360" w:lineRule="auto"/>
        <w:jc w:val="both"/>
        <w:rPr>
          <w:rFonts w:cs="Calibri"/>
          <w:color w:val="000000"/>
          <w:highlight w:val="yellow"/>
        </w:rPr>
      </w:pPr>
      <w:r w:rsidRPr="00B51EA7">
        <w:rPr>
          <w:rFonts w:cs="Calibri"/>
          <w:color w:val="000000"/>
          <w:highlight w:val="yellow"/>
        </w:rPr>
        <w:t xml:space="preserve">8.4 </w:t>
      </w:r>
      <w:r w:rsidR="00B21F8D" w:rsidRPr="00B51EA7">
        <w:rPr>
          <w:rFonts w:cs="Calibri"/>
          <w:color w:val="000000"/>
          <w:highlight w:val="yellow"/>
        </w:rPr>
        <w:t>Para a operacionalização da garantia prevista no item 5.8, consistente na vinculação de percentual equivalente a 10% (dez por cento) do saldo devedor atualizado ao fluxo mensal de arrecadação da CESAMA, ficam estabelecidas as seguintes condições para a instituição financeira vencedora do Chamamento Público:</w:t>
      </w:r>
    </w:p>
    <w:p w14:paraId="37E82610" w14:textId="6BA9D7A9" w:rsidR="00B21F8D" w:rsidRPr="00B51EA7" w:rsidRDefault="00B21F8D" w:rsidP="00B21F8D">
      <w:pPr>
        <w:spacing w:after="0" w:line="360" w:lineRule="auto"/>
        <w:jc w:val="both"/>
        <w:rPr>
          <w:rFonts w:cs="Calibri"/>
          <w:color w:val="000000"/>
          <w:highlight w:val="yellow"/>
        </w:rPr>
      </w:pPr>
      <w:r w:rsidRPr="00B51EA7">
        <w:rPr>
          <w:rFonts w:cs="Calibri"/>
          <w:color w:val="000000"/>
          <w:highlight w:val="yellow"/>
        </w:rPr>
        <w:t xml:space="preserve">I — A CESAMA se compromete a abrir conta corrente </w:t>
      </w:r>
      <w:r w:rsidR="00BC1726" w:rsidRPr="00B51EA7">
        <w:rPr>
          <w:rFonts w:cs="Calibri"/>
          <w:color w:val="000000"/>
          <w:highlight w:val="yellow"/>
        </w:rPr>
        <w:t>‘</w:t>
      </w:r>
      <w:r w:rsidRPr="00B51EA7">
        <w:rPr>
          <w:rFonts w:cs="Calibri"/>
          <w:color w:val="000000"/>
          <w:highlight w:val="yellow"/>
        </w:rPr>
        <w:t>junto à instituição financeira vencedora, destinada exclusivamente ao acompanhamento, controle e repasse do fluxo de recebíveis vinculado à garantia;</w:t>
      </w:r>
    </w:p>
    <w:p w14:paraId="600903C2" w14:textId="77777777" w:rsidR="00B21F8D" w:rsidRPr="00B51EA7" w:rsidRDefault="00B21F8D" w:rsidP="00B21F8D">
      <w:pPr>
        <w:spacing w:after="0" w:line="360" w:lineRule="auto"/>
        <w:jc w:val="both"/>
        <w:rPr>
          <w:rFonts w:cs="Calibri"/>
          <w:color w:val="000000"/>
          <w:highlight w:val="yellow"/>
        </w:rPr>
      </w:pPr>
      <w:r w:rsidRPr="00B51EA7">
        <w:rPr>
          <w:rFonts w:cs="Calibri"/>
          <w:color w:val="000000"/>
          <w:highlight w:val="yellow"/>
        </w:rPr>
        <w:t>II — A CESAMA direcionará à conta indicada pela instituição vencedora a parcela do fluxo mensal de arrecadação correspondente ao percentual vinculado à garantia, exclusivamente para fins de comprovação de capacidade de pagamento e estruturação da operação;</w:t>
      </w:r>
    </w:p>
    <w:p w14:paraId="54E22269" w14:textId="596D0384" w:rsidR="00B21F8D" w:rsidRPr="00B51EA7" w:rsidRDefault="00B21F8D" w:rsidP="00B21F8D">
      <w:pPr>
        <w:spacing w:after="0" w:line="360" w:lineRule="auto"/>
        <w:jc w:val="both"/>
        <w:rPr>
          <w:rFonts w:cs="Calibri"/>
          <w:color w:val="000000"/>
          <w:highlight w:val="yellow"/>
        </w:rPr>
      </w:pPr>
      <w:r w:rsidRPr="00B51EA7">
        <w:rPr>
          <w:rFonts w:cs="Calibri"/>
          <w:color w:val="000000"/>
          <w:highlight w:val="yellow"/>
        </w:rPr>
        <w:t>III — O fluxo de arrecadação não sofrerá bloqueio automático, retenção prévia ou apropriação direta pela instituição financeira, permanecendo integralmente sob gestão regular da CESAMA;</w:t>
      </w:r>
    </w:p>
    <w:p w14:paraId="024EF66E" w14:textId="77777777" w:rsidR="00B21F8D" w:rsidRPr="00B51EA7" w:rsidRDefault="00B21F8D" w:rsidP="00B21F8D">
      <w:pPr>
        <w:spacing w:after="0" w:line="360" w:lineRule="auto"/>
        <w:jc w:val="both"/>
        <w:rPr>
          <w:rFonts w:cs="Calibri"/>
          <w:color w:val="000000"/>
          <w:highlight w:val="yellow"/>
        </w:rPr>
      </w:pPr>
      <w:r w:rsidRPr="00B51EA7">
        <w:rPr>
          <w:rFonts w:cs="Calibri"/>
          <w:color w:val="000000"/>
          <w:highlight w:val="yellow"/>
        </w:rPr>
        <w:t>IV — Qualquer forma de retenção, apropriação ou execução da garantia somente será permitida em caso de descumprimento contratual por parte da CESAMA, devidamente caracterizado e observado o rito previsto no contrato de crédito;</w:t>
      </w:r>
    </w:p>
    <w:p w14:paraId="2A509D19" w14:textId="77777777" w:rsidR="00B21F8D" w:rsidRPr="00B51EA7" w:rsidRDefault="00B21F8D" w:rsidP="00B21F8D">
      <w:pPr>
        <w:spacing w:after="0" w:line="360" w:lineRule="auto"/>
        <w:jc w:val="both"/>
        <w:rPr>
          <w:rFonts w:cs="Calibri"/>
          <w:color w:val="000000"/>
          <w:highlight w:val="yellow"/>
        </w:rPr>
      </w:pPr>
      <w:r w:rsidRPr="00B51EA7">
        <w:rPr>
          <w:rFonts w:cs="Calibri"/>
          <w:color w:val="000000"/>
          <w:highlight w:val="yellow"/>
        </w:rPr>
        <w:t>V — A vinculação mencionada possui caráter preventivo e instrumental, destinando-se ao atendimento dos requisitos de garantia financeira da operação, não implicando comprometimento da integralidade da arrecadação, nem limitação da autonomia financeira, operacional ou orçamentária da CESAMA;</w:t>
      </w:r>
    </w:p>
    <w:p w14:paraId="2720C6BE" w14:textId="71A79854" w:rsidR="00EF10C1" w:rsidRDefault="00B21F8D" w:rsidP="00B21F8D">
      <w:pPr>
        <w:spacing w:after="0" w:line="360" w:lineRule="auto"/>
        <w:jc w:val="both"/>
        <w:rPr>
          <w:rFonts w:cs="Calibri"/>
          <w:color w:val="000000"/>
        </w:rPr>
      </w:pPr>
      <w:r w:rsidRPr="00B51EA7">
        <w:rPr>
          <w:rFonts w:cs="Calibri"/>
          <w:color w:val="000000"/>
          <w:highlight w:val="yellow"/>
        </w:rPr>
        <w:t>VI — A implementação dos mecanismos acima descritos será formalizada no contrato a ser celebrado com a instituição financeira vencedora, observados os requisitos da Lei nº 13.303/2016 e as normas aplicáveis ao setor público.</w:t>
      </w:r>
    </w:p>
    <w:p w14:paraId="688C97FA" w14:textId="77777777" w:rsidR="00271FCA" w:rsidRPr="00271FCA" w:rsidRDefault="00271FCA" w:rsidP="006B3BA0">
      <w:pPr>
        <w:spacing w:after="0" w:line="360" w:lineRule="auto"/>
        <w:jc w:val="both"/>
        <w:rPr>
          <w:rFonts w:cs="Calibri"/>
          <w:b/>
          <w:bCs/>
          <w:color w:val="000000"/>
        </w:rPr>
      </w:pPr>
      <w:r w:rsidRPr="00271FCA">
        <w:rPr>
          <w:rFonts w:cs="Calibri"/>
          <w:b/>
          <w:bCs/>
          <w:color w:val="000000"/>
        </w:rPr>
        <w:lastRenderedPageBreak/>
        <w:t xml:space="preserve">9. EXIGÊNCIAS PARA HABILITAÇÃO </w:t>
      </w:r>
    </w:p>
    <w:p w14:paraId="1451DC3D"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9.1 As instituições financeiras interessadas na apresentação de suas propostas deverão inserir no envelope os seguintes documentos, conforme especificações de data, horário e local previstos no preâmbulo deste chamamento. </w:t>
      </w:r>
    </w:p>
    <w:p w14:paraId="5638C2BE" w14:textId="5F672DB8" w:rsidR="006B3BA0" w:rsidRPr="00271FCA" w:rsidRDefault="00271FCA" w:rsidP="006B3BA0">
      <w:pPr>
        <w:spacing w:after="0" w:line="360" w:lineRule="auto"/>
        <w:jc w:val="both"/>
        <w:rPr>
          <w:rFonts w:cs="Calibri"/>
          <w:color w:val="000000"/>
        </w:rPr>
      </w:pPr>
      <w:r w:rsidRPr="00271FCA">
        <w:rPr>
          <w:rFonts w:cs="Calibri"/>
          <w:color w:val="000000"/>
        </w:rPr>
        <w:t>a) Prova de inscrição no Cadastro Nacional de Pessoas Jurídicas (CNPJ) do Ministério da Fazenda;</w:t>
      </w:r>
    </w:p>
    <w:p w14:paraId="3A56775E"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b) Prova de regularidade para com a Fazenda Federal e a Seguridade Social, mediante apresentação de Certidão Conjunta de Débitos Relativos a Tributos Federais e à Dívida Ativa da União, emitida pela Secretaria da Receita Federal do Brasil ou pela Procuradoria-Geral da Fazenda Nacional; </w:t>
      </w:r>
    </w:p>
    <w:p w14:paraId="5E1D55A3"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c) Prova de regularidade para com a Fazenda Pública do Estado do domicílio ou sede do licitante, mediante apresentação de certidão emitida pela Secretaria competente do Estado; </w:t>
      </w:r>
    </w:p>
    <w:p w14:paraId="77BE74D3"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d) Prova de regularidade para com a Fazenda Pública Municipal do domicílio ou sede do licitante, mediante apresentação de certidão emitida pela Secretaria competente do Município; </w:t>
      </w:r>
    </w:p>
    <w:p w14:paraId="4454F0B4"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e) Nos Municípios em que não há emissão de certidão Municipal conjunta, o licitante deverá apresentar tanto a prova de regularidade referente aos tributos mobiliários quanto aos de tributos imobiliários. </w:t>
      </w:r>
    </w:p>
    <w:p w14:paraId="5B044F76" w14:textId="77777777" w:rsidR="001679DB" w:rsidRDefault="00271FCA" w:rsidP="006B3BA0">
      <w:pPr>
        <w:spacing w:after="0" w:line="360" w:lineRule="auto"/>
        <w:jc w:val="both"/>
        <w:rPr>
          <w:rFonts w:cs="Calibri"/>
          <w:color w:val="000000"/>
        </w:rPr>
      </w:pPr>
      <w:r w:rsidRPr="00271FCA">
        <w:rPr>
          <w:rFonts w:cs="Calibri"/>
          <w:color w:val="000000"/>
        </w:rPr>
        <w:t xml:space="preserve">f) Prova de regularidade perante o Fundo de Garantia por Tempo de Serviço (FGTS), mediante a apresentação do Certificado de Regularidade do FGTS (CRF). g) Prova de inexistência de débitos inadimplidos perante a Justiça do Trabalho, nos termos da Resolução nº 1470/2011 do Tribunal Superior do Trabalho (www.tst.jus.br), dos artigos 2º e 3º da Lei Federal nº 12.440 de 07 de julho de 2011 e do Título VII-A da Consolidação das Leis do Trabalho, aprovada pelo Decreto-Lei no 5.452, de 1º de maio de 1943. h) Habilitação, pelo BACEN - Banco Central do Brasil, a funcionar com carteira comercial </w:t>
      </w:r>
    </w:p>
    <w:p w14:paraId="41C8FF0D" w14:textId="4CCC7729" w:rsidR="00271FCA" w:rsidRPr="00271FCA" w:rsidRDefault="00271FCA" w:rsidP="006B3BA0">
      <w:pPr>
        <w:spacing w:after="0" w:line="360" w:lineRule="auto"/>
        <w:jc w:val="both"/>
        <w:rPr>
          <w:rFonts w:cs="Calibri"/>
          <w:color w:val="000000"/>
        </w:rPr>
      </w:pPr>
      <w:r w:rsidRPr="00271FCA">
        <w:rPr>
          <w:rFonts w:cs="Calibri"/>
          <w:b/>
          <w:bCs/>
          <w:color w:val="000000"/>
        </w:rPr>
        <w:t>10 DÚVIDAS OU ESCLARECIMENTOS</w:t>
      </w:r>
      <w:r w:rsidRPr="00271FCA">
        <w:rPr>
          <w:rFonts w:cs="Calibri"/>
          <w:color w:val="000000"/>
        </w:rPr>
        <w:t xml:space="preserve"> </w:t>
      </w:r>
    </w:p>
    <w:p w14:paraId="29F8CE04" w14:textId="7AE2B78B" w:rsidR="00CF6B24" w:rsidRDefault="00271FCA" w:rsidP="006B3BA0">
      <w:pPr>
        <w:spacing w:after="0" w:line="360" w:lineRule="auto"/>
        <w:jc w:val="both"/>
        <w:rPr>
          <w:rFonts w:cs="Calibri"/>
          <w:color w:val="000000"/>
        </w:rPr>
      </w:pPr>
      <w:r w:rsidRPr="00271FCA">
        <w:rPr>
          <w:rFonts w:cs="Calibri"/>
          <w:color w:val="000000"/>
        </w:rPr>
        <w:t xml:space="preserve">10.1 Em caso de dúvidas, ou se a Proponente constatar eventuais falhas, erros ou omissões na documentação encaminhada neste documento, deverá solicitar esclarecimentos ou informações complementares, sempre por escrito, através de e-mail, endereçadas a: chamamentopublico00126@cesama.com.br </w:t>
      </w:r>
      <w:r w:rsidR="00797330" w:rsidRPr="00797330">
        <w:rPr>
          <w:rFonts w:cs="Calibri"/>
          <w:b/>
          <w:bCs/>
          <w:color w:val="000000"/>
          <w:highlight w:val="yellow"/>
        </w:rPr>
        <w:t xml:space="preserve">até dia </w:t>
      </w:r>
      <w:r w:rsidR="00797330" w:rsidRPr="00797330">
        <w:rPr>
          <w:rFonts w:cs="Calibri"/>
          <w:b/>
          <w:bCs/>
          <w:color w:val="000000"/>
          <w:highlight w:val="yellow"/>
        </w:rPr>
        <w:t>11</w:t>
      </w:r>
      <w:r w:rsidR="00797330" w:rsidRPr="00797330">
        <w:rPr>
          <w:rFonts w:cs="Calibri"/>
          <w:b/>
          <w:bCs/>
          <w:color w:val="000000"/>
          <w:highlight w:val="yellow"/>
        </w:rPr>
        <w:t>/0</w:t>
      </w:r>
      <w:r w:rsidR="00797330" w:rsidRPr="00797330">
        <w:rPr>
          <w:rFonts w:cs="Calibri"/>
          <w:b/>
          <w:bCs/>
          <w:color w:val="000000"/>
          <w:highlight w:val="yellow"/>
        </w:rPr>
        <w:t>6</w:t>
      </w:r>
      <w:r w:rsidR="00797330" w:rsidRPr="00797330">
        <w:rPr>
          <w:rFonts w:cs="Calibri"/>
          <w:b/>
          <w:bCs/>
          <w:color w:val="000000"/>
          <w:highlight w:val="yellow"/>
        </w:rPr>
        <w:t>/2026</w:t>
      </w:r>
      <w:r w:rsidR="00797330" w:rsidRPr="00797330">
        <w:rPr>
          <w:rFonts w:cs="Calibri"/>
          <w:color w:val="000000"/>
          <w:highlight w:val="yellow"/>
        </w:rPr>
        <w:t>.</w:t>
      </w:r>
    </w:p>
    <w:p w14:paraId="32EECC34" w14:textId="50299C86" w:rsidR="00271FCA" w:rsidRPr="00271FCA" w:rsidRDefault="00271FCA" w:rsidP="006B3BA0">
      <w:pPr>
        <w:spacing w:after="0" w:line="360" w:lineRule="auto"/>
        <w:jc w:val="both"/>
        <w:rPr>
          <w:rFonts w:cs="Calibri"/>
          <w:color w:val="000000"/>
        </w:rPr>
      </w:pPr>
      <w:r w:rsidRPr="00271FCA">
        <w:rPr>
          <w:rFonts w:cs="Calibri"/>
          <w:color w:val="000000"/>
        </w:rPr>
        <w:t xml:space="preserve">10.2 Sempre que um questionamento e seu esclarecimento sejam de interesse de todos os Participantes, </w:t>
      </w:r>
      <w:r w:rsidR="00CF6B24">
        <w:rPr>
          <w:rFonts w:cs="Calibri"/>
          <w:color w:val="000000"/>
        </w:rPr>
        <w:t>a Cesama deverá</w:t>
      </w:r>
      <w:r w:rsidRPr="00271FCA">
        <w:rPr>
          <w:rFonts w:cs="Calibri"/>
          <w:color w:val="000000"/>
        </w:rPr>
        <w:t xml:space="preserve"> divulgar tais informações complementares a todas as Proponentes convidadas, omitindo-se o nome da Proponente que formulou o questionamento. </w:t>
      </w:r>
    </w:p>
    <w:p w14:paraId="0152AB3D" w14:textId="6E2595C0" w:rsidR="00271FCA" w:rsidRPr="00CF6B24" w:rsidRDefault="00271FCA" w:rsidP="006B3BA0">
      <w:pPr>
        <w:spacing w:after="0" w:line="360" w:lineRule="auto"/>
        <w:jc w:val="both"/>
        <w:rPr>
          <w:rFonts w:cs="Calibri"/>
          <w:b/>
          <w:bCs/>
          <w:color w:val="000000"/>
        </w:rPr>
      </w:pPr>
      <w:r w:rsidRPr="00CF6B24">
        <w:rPr>
          <w:rFonts w:cs="Calibri"/>
          <w:b/>
          <w:bCs/>
          <w:color w:val="000000"/>
        </w:rPr>
        <w:t>11. DISPOSIÇÕES GERAIS</w:t>
      </w:r>
    </w:p>
    <w:p w14:paraId="6A986236" w14:textId="77777777" w:rsidR="00271FCA" w:rsidRPr="00271FCA" w:rsidRDefault="00271FCA" w:rsidP="006B3BA0">
      <w:pPr>
        <w:spacing w:after="0" w:line="360" w:lineRule="auto"/>
        <w:jc w:val="both"/>
        <w:rPr>
          <w:rFonts w:cs="Calibri"/>
          <w:color w:val="000000"/>
        </w:rPr>
      </w:pPr>
      <w:r w:rsidRPr="00271FCA">
        <w:rPr>
          <w:rFonts w:cs="Calibri"/>
          <w:color w:val="000000"/>
        </w:rPr>
        <w:lastRenderedPageBreak/>
        <w:t xml:space="preserve">11.1 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 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 </w:t>
      </w:r>
    </w:p>
    <w:p w14:paraId="606197F0" w14:textId="77777777" w:rsidR="00271FCA" w:rsidRPr="00271FCA" w:rsidRDefault="00271FCA" w:rsidP="006B3BA0">
      <w:pPr>
        <w:spacing w:after="0" w:line="360" w:lineRule="auto"/>
        <w:jc w:val="both"/>
        <w:rPr>
          <w:rFonts w:cs="Calibri"/>
          <w:color w:val="000000"/>
        </w:rPr>
      </w:pPr>
      <w:r w:rsidRPr="00271FCA">
        <w:rPr>
          <w:rFonts w:cs="Calibri"/>
          <w:color w:val="000000"/>
        </w:rPr>
        <w:t xml:space="preserve">11.2 No mesmo sentido, a Cesama constituída na forma de empresa pública, não é contribuinte do IRPJ observando, portanto, o processo público sob o nº0007998- 48.2010.4.01.3801/MG, transitado e julgado. </w:t>
      </w:r>
    </w:p>
    <w:p w14:paraId="7FCA1B39" w14:textId="72FC9EB6" w:rsidR="00271FCA" w:rsidRPr="00271FCA" w:rsidRDefault="00271FCA" w:rsidP="00271FCA">
      <w:pPr>
        <w:spacing w:after="0" w:line="360" w:lineRule="auto"/>
        <w:ind w:left="2268"/>
        <w:jc w:val="both"/>
        <w:rPr>
          <w:rFonts w:cs="Calibri"/>
          <w:i/>
          <w:iCs/>
          <w:color w:val="000000"/>
          <w:sz w:val="20"/>
          <w:szCs w:val="20"/>
        </w:rPr>
      </w:pPr>
      <w:r w:rsidRPr="00271FCA">
        <w:rPr>
          <w:rFonts w:cs="Calibri"/>
          <w:i/>
          <w:iCs/>
          <w:color w:val="000000"/>
          <w:sz w:val="20"/>
          <w:szCs w:val="20"/>
        </w:rPr>
        <w:t>“A ausência de menção expressa ao § 3º do art. 150 da Constituição não configura omissão, pois o acórdão embargado se alinha ao entendimento consolidado pelo STF no Tema 1.140, que reconhece a imunidade tributária recíproca a empresas públicas prestadoras de serviço público essencial, ainda que mediante cobrança de tarifa.”</w:t>
      </w:r>
    </w:p>
    <w:p w14:paraId="6DDAD2B2" w14:textId="77777777" w:rsidR="00271FCA" w:rsidRDefault="00271FCA" w:rsidP="00271FCA">
      <w:pPr>
        <w:spacing w:after="0" w:line="360" w:lineRule="auto"/>
        <w:ind w:left="2268"/>
        <w:jc w:val="center"/>
        <w:rPr>
          <w:rFonts w:cs="Calibri"/>
          <w:color w:val="000000"/>
          <w:sz w:val="20"/>
          <w:szCs w:val="20"/>
        </w:rPr>
      </w:pPr>
    </w:p>
    <w:p w14:paraId="3BF19754" w14:textId="77777777" w:rsidR="00797330" w:rsidRPr="00271FCA" w:rsidRDefault="00797330" w:rsidP="00797330">
      <w:pPr>
        <w:spacing w:after="0" w:line="360" w:lineRule="auto"/>
        <w:jc w:val="center"/>
        <w:rPr>
          <w:rFonts w:cs="Calibri"/>
          <w:color w:val="000000"/>
          <w:sz w:val="20"/>
          <w:szCs w:val="20"/>
        </w:rPr>
      </w:pPr>
      <w:r>
        <w:rPr>
          <w:rFonts w:cs="Calibri"/>
          <w:color w:val="000000"/>
          <w:sz w:val="20"/>
          <w:szCs w:val="20"/>
        </w:rPr>
        <w:t>Assinado no original</w:t>
      </w:r>
    </w:p>
    <w:p w14:paraId="17846D6B" w14:textId="77777777" w:rsidR="00271FCA" w:rsidRPr="00271FCA" w:rsidRDefault="00271FCA" w:rsidP="00271FCA">
      <w:pPr>
        <w:spacing w:after="0" w:line="360" w:lineRule="auto"/>
        <w:jc w:val="center"/>
        <w:rPr>
          <w:rFonts w:cs="Calibri"/>
          <w:color w:val="000000"/>
          <w:sz w:val="20"/>
          <w:szCs w:val="20"/>
        </w:rPr>
      </w:pPr>
      <w:r w:rsidRPr="00271FCA">
        <w:rPr>
          <w:rFonts w:cs="Calibri"/>
          <w:color w:val="000000"/>
          <w:sz w:val="20"/>
          <w:szCs w:val="20"/>
        </w:rPr>
        <w:t xml:space="preserve">Robson Dutra Ferreira </w:t>
      </w:r>
    </w:p>
    <w:p w14:paraId="474104DE" w14:textId="77777777" w:rsidR="00271FCA" w:rsidRPr="00271FCA" w:rsidRDefault="00271FCA" w:rsidP="00271FCA">
      <w:pPr>
        <w:spacing w:after="0" w:line="360" w:lineRule="auto"/>
        <w:jc w:val="center"/>
        <w:rPr>
          <w:rFonts w:cs="Calibri"/>
          <w:color w:val="000000"/>
          <w:sz w:val="20"/>
          <w:szCs w:val="20"/>
        </w:rPr>
      </w:pPr>
      <w:r w:rsidRPr="00271FCA">
        <w:rPr>
          <w:rFonts w:cs="Calibri"/>
          <w:color w:val="000000"/>
          <w:sz w:val="20"/>
          <w:szCs w:val="20"/>
        </w:rPr>
        <w:t>GERENCIA FINANCEIRA CONTÁBIL</w:t>
      </w:r>
    </w:p>
    <w:p w14:paraId="5EDEDDD4" w14:textId="77777777" w:rsidR="00797330" w:rsidRDefault="00797330" w:rsidP="00797330">
      <w:pPr>
        <w:spacing w:after="0" w:line="360" w:lineRule="auto"/>
        <w:jc w:val="center"/>
        <w:rPr>
          <w:rFonts w:cs="Calibri"/>
          <w:color w:val="000000"/>
          <w:sz w:val="20"/>
          <w:szCs w:val="20"/>
        </w:rPr>
      </w:pPr>
    </w:p>
    <w:p w14:paraId="5FAF1742" w14:textId="7DF94527" w:rsidR="00797330" w:rsidRPr="00271FCA" w:rsidRDefault="00797330" w:rsidP="00797330">
      <w:pPr>
        <w:spacing w:after="0" w:line="360" w:lineRule="auto"/>
        <w:jc w:val="center"/>
        <w:rPr>
          <w:rFonts w:cs="Calibri"/>
          <w:color w:val="000000"/>
          <w:sz w:val="20"/>
          <w:szCs w:val="20"/>
        </w:rPr>
      </w:pPr>
      <w:r>
        <w:rPr>
          <w:rFonts w:cs="Calibri"/>
          <w:color w:val="000000"/>
          <w:sz w:val="20"/>
          <w:szCs w:val="20"/>
        </w:rPr>
        <w:t>Assinado no original</w:t>
      </w:r>
    </w:p>
    <w:p w14:paraId="3EBF74D4" w14:textId="77777777" w:rsidR="00271FCA" w:rsidRPr="00271FCA" w:rsidRDefault="00271FCA" w:rsidP="00271FCA">
      <w:pPr>
        <w:spacing w:after="0" w:line="360" w:lineRule="auto"/>
        <w:jc w:val="center"/>
        <w:rPr>
          <w:rFonts w:cs="Calibri"/>
          <w:color w:val="000000"/>
          <w:sz w:val="20"/>
          <w:szCs w:val="20"/>
        </w:rPr>
      </w:pPr>
      <w:r w:rsidRPr="00271FCA">
        <w:rPr>
          <w:rFonts w:cs="Calibri"/>
          <w:color w:val="000000"/>
          <w:sz w:val="20"/>
          <w:szCs w:val="20"/>
        </w:rPr>
        <w:t xml:space="preserve"> Renata Fernandes </w:t>
      </w:r>
    </w:p>
    <w:p w14:paraId="561869EB" w14:textId="24648142" w:rsidR="00271FCA" w:rsidRPr="00271FCA" w:rsidRDefault="00271FCA" w:rsidP="00271FCA">
      <w:pPr>
        <w:spacing w:after="0" w:line="360" w:lineRule="auto"/>
        <w:jc w:val="center"/>
        <w:rPr>
          <w:rFonts w:cs="Calibri"/>
          <w:color w:val="000000"/>
          <w:sz w:val="20"/>
          <w:szCs w:val="20"/>
        </w:rPr>
      </w:pPr>
      <w:r w:rsidRPr="00271FCA">
        <w:rPr>
          <w:rFonts w:cs="Calibri"/>
          <w:color w:val="000000"/>
          <w:sz w:val="20"/>
          <w:szCs w:val="20"/>
        </w:rPr>
        <w:t>DIRETORA ADMINISTRATIVA E FINANCEIRA</w:t>
      </w:r>
    </w:p>
    <w:p w14:paraId="53548407" w14:textId="559F2198" w:rsidR="006B3BA0" w:rsidRDefault="006B3BA0" w:rsidP="006B3BA0">
      <w:pPr>
        <w:spacing w:after="0" w:line="360" w:lineRule="auto"/>
        <w:jc w:val="center"/>
        <w:rPr>
          <w:rFonts w:ascii="Arial" w:hAnsi="Arial" w:cs="Arial"/>
          <w:color w:val="000000"/>
        </w:rPr>
      </w:pPr>
    </w:p>
    <w:p w14:paraId="38C46BEA" w14:textId="77777777" w:rsidR="0094367C" w:rsidRDefault="0094367C" w:rsidP="008807A9">
      <w:pPr>
        <w:spacing w:after="0" w:line="360" w:lineRule="auto"/>
        <w:jc w:val="both"/>
        <w:rPr>
          <w:rFonts w:ascii="Arial" w:hAnsi="Arial" w:cs="Arial"/>
          <w:color w:val="000000"/>
        </w:rPr>
      </w:pPr>
    </w:p>
    <w:sectPr w:rsidR="0094367C" w:rsidSect="00733DB0">
      <w:headerReference w:type="default" r:id="rId8"/>
      <w:footerReference w:type="even"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B7CA8" w14:textId="77777777" w:rsidR="00697B56" w:rsidRDefault="00697B56" w:rsidP="00912249">
      <w:pPr>
        <w:spacing w:after="0" w:line="240" w:lineRule="auto"/>
      </w:pPr>
      <w:r>
        <w:separator/>
      </w:r>
    </w:p>
  </w:endnote>
  <w:endnote w:type="continuationSeparator" w:id="0">
    <w:p w14:paraId="5E264237" w14:textId="77777777" w:rsidR="00697B56" w:rsidRDefault="00697B56"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A2B4E" w14:textId="77777777" w:rsidR="00D7507E" w:rsidRDefault="00D7507E"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F616B" w14:textId="77777777" w:rsidR="00912249" w:rsidRPr="00262B4E" w:rsidRDefault="00912249"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Companhia de Saneamento Municipal </w:t>
    </w:r>
    <w:r w:rsidR="00D7507E" w:rsidRPr="00262B4E">
      <w:rPr>
        <w:rFonts w:ascii="Arial" w:hAnsi="Arial" w:cs="Arial"/>
        <w:b/>
        <w:color w:val="AEAAAA"/>
        <w:sz w:val="16"/>
        <w:szCs w:val="16"/>
      </w:rPr>
      <w:t>–</w:t>
    </w:r>
    <w:r w:rsidRPr="00262B4E">
      <w:rPr>
        <w:rFonts w:ascii="Arial" w:hAnsi="Arial" w:cs="Arial"/>
        <w:b/>
        <w:color w:val="AEAAAA"/>
        <w:sz w:val="16"/>
        <w:szCs w:val="16"/>
      </w:rPr>
      <w:t xml:space="preserve"> Cesama</w:t>
    </w:r>
  </w:p>
  <w:p w14:paraId="51792494" w14:textId="77777777" w:rsidR="00912249" w:rsidRPr="00262B4E" w:rsidRDefault="00912249"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2F7D3262" w14:textId="77777777" w:rsidR="00912249" w:rsidRPr="00262B4E" w:rsidRDefault="00CB637E"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 xml:space="preserve">CEP: 36.013-020 I </w:t>
    </w:r>
    <w:r w:rsidR="00D7507E" w:rsidRPr="00262B4E">
      <w:rPr>
        <w:rFonts w:ascii="Arial" w:hAnsi="Arial" w:cs="Arial"/>
        <w:color w:val="AEAAAA"/>
        <w:sz w:val="16"/>
        <w:szCs w:val="16"/>
      </w:rPr>
      <w:t xml:space="preserve">Juiz de Fora - </w:t>
    </w:r>
    <w:r w:rsidR="00912249" w:rsidRPr="00262B4E">
      <w:rPr>
        <w:rFonts w:ascii="Arial" w:hAnsi="Arial" w:cs="Arial"/>
        <w:color w:val="AEAAAA"/>
        <w:sz w:val="16"/>
        <w:szCs w:val="16"/>
      </w:rPr>
      <w:t>MG</w:t>
    </w:r>
    <w:r w:rsidRPr="00262B4E">
      <w:rPr>
        <w:rFonts w:ascii="Arial" w:hAnsi="Arial" w:cs="Arial"/>
        <w:color w:val="AEAAAA"/>
        <w:sz w:val="16"/>
        <w:szCs w:val="16"/>
      </w:rPr>
      <w:t xml:space="preserve"> I Telefone: (32) 3692-XXXX</w:t>
    </w:r>
  </w:p>
  <w:p w14:paraId="7102B3AA" w14:textId="77777777" w:rsidR="00D7507E" w:rsidRPr="00262B4E" w:rsidRDefault="00D7507E" w:rsidP="00D7507E">
    <w:pPr>
      <w:pStyle w:val="Rodap"/>
      <w:tabs>
        <w:tab w:val="clear" w:pos="8504"/>
        <w:tab w:val="right" w:pos="8505"/>
      </w:tabs>
      <w:ind w:right="-1"/>
      <w:jc w:val="center"/>
      <w:rPr>
        <w:rFonts w:ascii="Arial" w:hAnsi="Arial" w:cs="Arial"/>
        <w:color w:val="AEAAAA"/>
        <w:sz w:val="16"/>
        <w:szCs w:val="16"/>
      </w:rPr>
    </w:pPr>
  </w:p>
  <w:p w14:paraId="0FB36757" w14:textId="77777777" w:rsidR="00D7507E" w:rsidRPr="00262B4E" w:rsidRDefault="00D7507E"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C57DA" w14:textId="77777777" w:rsidR="00697B56" w:rsidRDefault="00697B56" w:rsidP="00912249">
      <w:pPr>
        <w:spacing w:after="0" w:line="240" w:lineRule="auto"/>
      </w:pPr>
      <w:r>
        <w:separator/>
      </w:r>
    </w:p>
  </w:footnote>
  <w:footnote w:type="continuationSeparator" w:id="0">
    <w:p w14:paraId="55753AE7" w14:textId="77777777" w:rsidR="00697B56" w:rsidRDefault="00697B56"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7D47" w14:textId="10D03479" w:rsidR="00912249" w:rsidRPr="00262B4E" w:rsidRDefault="00ED40E7" w:rsidP="00D7507E">
    <w:pPr>
      <w:pStyle w:val="Cabealho"/>
      <w:jc w:val="both"/>
      <w:rPr>
        <w:sz w:val="16"/>
        <w:szCs w:val="16"/>
      </w:rPr>
    </w:pPr>
    <w:r>
      <w:rPr>
        <w:noProof/>
        <w:sz w:val="16"/>
        <w:szCs w:val="16"/>
      </w:rPr>
      <w:drawing>
        <wp:inline distT="0" distB="0" distL="0" distR="0" wp14:anchorId="1E79AF9F" wp14:editId="3802349E">
          <wp:extent cx="5388949" cy="678179"/>
          <wp:effectExtent l="0" t="0" r="2540" b="8255"/>
          <wp:docPr id="2181999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43D60"/>
    <w:multiLevelType w:val="hybridMultilevel"/>
    <w:tmpl w:val="E73CA7B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C195C4A"/>
    <w:multiLevelType w:val="hybridMultilevel"/>
    <w:tmpl w:val="EE3625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91659665">
    <w:abstractNumId w:val="1"/>
  </w:num>
  <w:num w:numId="2" w16cid:durableId="1594893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249"/>
    <w:rsid w:val="000003AB"/>
    <w:rsid w:val="00001A11"/>
    <w:rsid w:val="00013676"/>
    <w:rsid w:val="00026BF8"/>
    <w:rsid w:val="00066392"/>
    <w:rsid w:val="00072702"/>
    <w:rsid w:val="000A5914"/>
    <w:rsid w:val="000C0919"/>
    <w:rsid w:val="000F5F2B"/>
    <w:rsid w:val="00104E72"/>
    <w:rsid w:val="00134111"/>
    <w:rsid w:val="00141E44"/>
    <w:rsid w:val="00142991"/>
    <w:rsid w:val="0015238C"/>
    <w:rsid w:val="001679DB"/>
    <w:rsid w:val="00196A1A"/>
    <w:rsid w:val="001A45AE"/>
    <w:rsid w:val="001A7473"/>
    <w:rsid w:val="001B1EEE"/>
    <w:rsid w:val="001B7263"/>
    <w:rsid w:val="001F7D11"/>
    <w:rsid w:val="00201AE2"/>
    <w:rsid w:val="0021422E"/>
    <w:rsid w:val="00231A37"/>
    <w:rsid w:val="002333E6"/>
    <w:rsid w:val="00240C55"/>
    <w:rsid w:val="002543AB"/>
    <w:rsid w:val="00262B4E"/>
    <w:rsid w:val="00271FCA"/>
    <w:rsid w:val="002D31CF"/>
    <w:rsid w:val="002D65AD"/>
    <w:rsid w:val="002E078A"/>
    <w:rsid w:val="003078BD"/>
    <w:rsid w:val="00314D89"/>
    <w:rsid w:val="00315E5E"/>
    <w:rsid w:val="0033543C"/>
    <w:rsid w:val="00341F12"/>
    <w:rsid w:val="00383143"/>
    <w:rsid w:val="003B2970"/>
    <w:rsid w:val="003D121E"/>
    <w:rsid w:val="003F6849"/>
    <w:rsid w:val="00415371"/>
    <w:rsid w:val="0044694D"/>
    <w:rsid w:val="00450D8A"/>
    <w:rsid w:val="00474454"/>
    <w:rsid w:val="004759FC"/>
    <w:rsid w:val="00475FF6"/>
    <w:rsid w:val="004871C8"/>
    <w:rsid w:val="004B1DEA"/>
    <w:rsid w:val="004F39FD"/>
    <w:rsid w:val="005254A2"/>
    <w:rsid w:val="00536A61"/>
    <w:rsid w:val="005468C4"/>
    <w:rsid w:val="0055083F"/>
    <w:rsid w:val="00597F5C"/>
    <w:rsid w:val="005B7B8C"/>
    <w:rsid w:val="005F3BF9"/>
    <w:rsid w:val="005F3E37"/>
    <w:rsid w:val="005F7B9F"/>
    <w:rsid w:val="00631A63"/>
    <w:rsid w:val="00660E2F"/>
    <w:rsid w:val="006737C6"/>
    <w:rsid w:val="006828EC"/>
    <w:rsid w:val="00682E95"/>
    <w:rsid w:val="00697B56"/>
    <w:rsid w:val="006A096E"/>
    <w:rsid w:val="006A0FE8"/>
    <w:rsid w:val="006A4414"/>
    <w:rsid w:val="006B3BA0"/>
    <w:rsid w:val="006D585A"/>
    <w:rsid w:val="006E0498"/>
    <w:rsid w:val="006F12F6"/>
    <w:rsid w:val="006F2968"/>
    <w:rsid w:val="006F54C9"/>
    <w:rsid w:val="006F71E0"/>
    <w:rsid w:val="00703C9D"/>
    <w:rsid w:val="00733DB0"/>
    <w:rsid w:val="007520DA"/>
    <w:rsid w:val="0076066E"/>
    <w:rsid w:val="00771DC9"/>
    <w:rsid w:val="00774903"/>
    <w:rsid w:val="00785A6C"/>
    <w:rsid w:val="00797330"/>
    <w:rsid w:val="007A4788"/>
    <w:rsid w:val="007B0440"/>
    <w:rsid w:val="007C2037"/>
    <w:rsid w:val="007D4565"/>
    <w:rsid w:val="007E4331"/>
    <w:rsid w:val="007E78A3"/>
    <w:rsid w:val="00815731"/>
    <w:rsid w:val="008217D0"/>
    <w:rsid w:val="00824027"/>
    <w:rsid w:val="00844E83"/>
    <w:rsid w:val="00845E3E"/>
    <w:rsid w:val="00873186"/>
    <w:rsid w:val="00874540"/>
    <w:rsid w:val="008807A9"/>
    <w:rsid w:val="00882581"/>
    <w:rsid w:val="008A5ED7"/>
    <w:rsid w:val="008D2526"/>
    <w:rsid w:val="00912249"/>
    <w:rsid w:val="00916035"/>
    <w:rsid w:val="0092142C"/>
    <w:rsid w:val="00923A9E"/>
    <w:rsid w:val="009342DF"/>
    <w:rsid w:val="0094367C"/>
    <w:rsid w:val="00996CF5"/>
    <w:rsid w:val="009A5C36"/>
    <w:rsid w:val="009B614D"/>
    <w:rsid w:val="009D0575"/>
    <w:rsid w:val="00A61659"/>
    <w:rsid w:val="00A67E8C"/>
    <w:rsid w:val="00A8400B"/>
    <w:rsid w:val="00A968CF"/>
    <w:rsid w:val="00A97904"/>
    <w:rsid w:val="00A9794B"/>
    <w:rsid w:val="00AD3655"/>
    <w:rsid w:val="00AF2D3D"/>
    <w:rsid w:val="00B0290F"/>
    <w:rsid w:val="00B11301"/>
    <w:rsid w:val="00B21F8D"/>
    <w:rsid w:val="00B22489"/>
    <w:rsid w:val="00B24D20"/>
    <w:rsid w:val="00B44721"/>
    <w:rsid w:val="00B46C0E"/>
    <w:rsid w:val="00B51EA7"/>
    <w:rsid w:val="00B55854"/>
    <w:rsid w:val="00BC1726"/>
    <w:rsid w:val="00BD63D6"/>
    <w:rsid w:val="00BD6CA4"/>
    <w:rsid w:val="00BE553C"/>
    <w:rsid w:val="00BF592E"/>
    <w:rsid w:val="00BF6E97"/>
    <w:rsid w:val="00C40396"/>
    <w:rsid w:val="00C410C3"/>
    <w:rsid w:val="00C45988"/>
    <w:rsid w:val="00C863C8"/>
    <w:rsid w:val="00CA2BDC"/>
    <w:rsid w:val="00CB4E72"/>
    <w:rsid w:val="00CB637E"/>
    <w:rsid w:val="00CD0150"/>
    <w:rsid w:val="00CF6B24"/>
    <w:rsid w:val="00D1475C"/>
    <w:rsid w:val="00D267FF"/>
    <w:rsid w:val="00D7507E"/>
    <w:rsid w:val="00D9357E"/>
    <w:rsid w:val="00D94833"/>
    <w:rsid w:val="00DA1A20"/>
    <w:rsid w:val="00DC08CD"/>
    <w:rsid w:val="00DE33B0"/>
    <w:rsid w:val="00E23CE4"/>
    <w:rsid w:val="00E27C48"/>
    <w:rsid w:val="00E32B8B"/>
    <w:rsid w:val="00E50F6C"/>
    <w:rsid w:val="00E90CAC"/>
    <w:rsid w:val="00EA622E"/>
    <w:rsid w:val="00EB66AA"/>
    <w:rsid w:val="00ED40E7"/>
    <w:rsid w:val="00EE37E3"/>
    <w:rsid w:val="00EF10C1"/>
    <w:rsid w:val="00EF18A9"/>
    <w:rsid w:val="00EF59F0"/>
    <w:rsid w:val="00F60D8A"/>
    <w:rsid w:val="00F81019"/>
    <w:rsid w:val="00F83678"/>
    <w:rsid w:val="00F86344"/>
    <w:rsid w:val="00F90078"/>
    <w:rsid w:val="00F93730"/>
    <w:rsid w:val="00FA35F9"/>
    <w:rsid w:val="00FB4748"/>
    <w:rsid w:val="00FE158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06D7A"/>
  <w15:docId w15:val="{3B700EE8-C6B6-497A-9430-68BE68CFC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B21F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iPriority w:val="99"/>
    <w:unhideWhenUsed/>
    <w:rsid w:val="00A61659"/>
    <w:rPr>
      <w:color w:val="0000FF"/>
      <w:u w:val="single"/>
    </w:rPr>
  </w:style>
  <w:style w:type="paragraph" w:styleId="PargrafodaLista">
    <w:name w:val="List Paragraph"/>
    <w:basedOn w:val="Normal"/>
    <w:uiPriority w:val="34"/>
    <w:qFormat/>
    <w:rsid w:val="006B3BA0"/>
    <w:pPr>
      <w:ind w:left="720"/>
      <w:contextualSpacing/>
    </w:pPr>
  </w:style>
  <w:style w:type="paragraph" w:styleId="NormalWeb">
    <w:name w:val="Normal (Web)"/>
    <w:basedOn w:val="Normal"/>
    <w:uiPriority w:val="99"/>
    <w:semiHidden/>
    <w:unhideWhenUsed/>
    <w:rsid w:val="00EF10C1"/>
    <w:rPr>
      <w:rFonts w:ascii="Times New Roman" w:hAnsi="Times New Roman"/>
      <w:sz w:val="24"/>
      <w:szCs w:val="24"/>
    </w:rPr>
  </w:style>
  <w:style w:type="character" w:customStyle="1" w:styleId="Ttulo1Char">
    <w:name w:val="Título 1 Char"/>
    <w:basedOn w:val="Fontepargpadro"/>
    <w:link w:val="Ttulo1"/>
    <w:uiPriority w:val="9"/>
    <w:rsid w:val="00B21F8D"/>
    <w:rPr>
      <w:rFonts w:asciiTheme="majorHAnsi" w:eastAsiaTheme="majorEastAsia" w:hAnsiTheme="majorHAnsi" w:cstheme="majorBidi"/>
      <w:color w:val="2E74B5" w:themeColor="accent1" w:themeShade="BF"/>
      <w:sz w:val="32"/>
      <w:szCs w:val="32"/>
      <w:lang w:eastAsia="en-US"/>
    </w:rPr>
  </w:style>
  <w:style w:type="character" w:styleId="MenoPendente">
    <w:name w:val="Unresolved Mention"/>
    <w:basedOn w:val="Fontepargpadro"/>
    <w:uiPriority w:val="99"/>
    <w:semiHidden/>
    <w:unhideWhenUsed/>
    <w:rsid w:val="00240C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hamamentopublico00126@cesama.com.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3019</Words>
  <Characters>16307</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Renata Melo</cp:lastModifiedBy>
  <cp:revision>3</cp:revision>
  <cp:lastPrinted>2026-05-22T17:47:00Z</cp:lastPrinted>
  <dcterms:created xsi:type="dcterms:W3CDTF">2026-05-25T18:47:00Z</dcterms:created>
  <dcterms:modified xsi:type="dcterms:W3CDTF">2026-05-25T18:51:00Z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b9c071a1-77ec-4351-8aaa-8554c0ae4762</vt:lpwstr>
  </property>
</Properties>
</file>